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6F" w:rsidRDefault="0043036F" w:rsidP="0043036F">
      <w:pPr>
        <w:spacing w:line="240" w:lineRule="auto"/>
        <w:ind w:leftChars="0" w:left="3" w:hanging="3"/>
        <w:jc w:val="right"/>
        <w:rPr>
          <w:color w:val="000000"/>
          <w:position w:val="0"/>
        </w:rPr>
      </w:pPr>
      <w:r>
        <w:rPr>
          <w:b/>
          <w:sz w:val="32"/>
          <w:szCs w:val="28"/>
          <w:lang w:val="ky-KG"/>
        </w:rPr>
        <w:t xml:space="preserve">               </w:t>
      </w:r>
      <w:r>
        <w:rPr>
          <w:color w:val="000000"/>
        </w:rPr>
        <w:t xml:space="preserve">Приложение </w:t>
      </w:r>
    </w:p>
    <w:p w:rsidR="0043036F" w:rsidRDefault="0043036F" w:rsidP="0043036F">
      <w:pPr>
        <w:spacing w:line="240" w:lineRule="auto"/>
        <w:ind w:leftChars="0" w:left="2" w:hanging="2"/>
        <w:jc w:val="right"/>
        <w:rPr>
          <w:rFonts w:eastAsia="SimSun"/>
          <w:color w:val="000000"/>
          <w:sz w:val="28"/>
          <w:lang w:eastAsia="en-US"/>
        </w:rPr>
      </w:pPr>
      <w:r>
        <w:rPr>
          <w:color w:val="000000"/>
        </w:rPr>
        <w:t xml:space="preserve">к приказу Министерства образования </w:t>
      </w:r>
    </w:p>
    <w:p w:rsidR="0043036F" w:rsidRDefault="0043036F" w:rsidP="0043036F">
      <w:pPr>
        <w:spacing w:line="240" w:lineRule="auto"/>
        <w:ind w:leftChars="0" w:left="2" w:hanging="2"/>
        <w:jc w:val="right"/>
        <w:rPr>
          <w:color w:val="000000"/>
          <w:position w:val="0"/>
          <w:szCs w:val="22"/>
        </w:rPr>
      </w:pPr>
      <w:r>
        <w:rPr>
          <w:color w:val="000000"/>
        </w:rPr>
        <w:t>и науки Кыргызской Республики</w:t>
      </w:r>
    </w:p>
    <w:p w:rsidR="0043036F" w:rsidRDefault="0043036F" w:rsidP="0043036F">
      <w:pPr>
        <w:spacing w:line="240" w:lineRule="auto"/>
        <w:ind w:leftChars="0" w:left="2" w:hanging="2"/>
        <w:jc w:val="right"/>
        <w:rPr>
          <w:rFonts w:eastAsia="Calibri"/>
          <w:color w:val="000000"/>
        </w:rPr>
      </w:pPr>
      <w:r>
        <w:rPr>
          <w:color w:val="000000"/>
        </w:rPr>
        <w:t>от «___» ______________ 2021 г.</w:t>
      </w:r>
    </w:p>
    <w:p w:rsidR="0043036F" w:rsidRDefault="0043036F" w:rsidP="0043036F">
      <w:pPr>
        <w:widowControl w:val="0"/>
        <w:autoSpaceDE w:val="0"/>
        <w:autoSpaceDN w:val="0"/>
        <w:adjustRightInd w:val="0"/>
        <w:spacing w:line="240" w:lineRule="auto"/>
        <w:ind w:leftChars="0" w:left="2" w:hanging="2"/>
        <w:jc w:val="right"/>
        <w:rPr>
          <w:rFonts w:eastAsia="Arial"/>
          <w:b/>
        </w:rPr>
      </w:pPr>
      <w:r>
        <w:rPr>
          <w:color w:val="000000"/>
        </w:rPr>
        <w:t>№ ________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center"/>
        <w:rPr>
          <w:b/>
          <w:sz w:val="22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center"/>
        <w:rPr>
          <w:b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center"/>
        <w:rPr>
          <w:rFonts w:eastAsia="Calibri"/>
          <w:b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center"/>
        <w:rPr>
          <w:b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И НАУКИ </w:t>
      </w:r>
      <w:r>
        <w:rPr>
          <w:b/>
          <w:sz w:val="28"/>
        </w:rPr>
        <w:br/>
        <w:t>КЫРГЫЗСКОЙ РЕСПУБЛИКИ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ГОСУДАРСТВЕННЫЙ ОБРАЗОВАТЕЛЬНЫЙ СТАНДАРТ </w:t>
      </w:r>
      <w:r>
        <w:rPr>
          <w:b/>
          <w:sz w:val="28"/>
        </w:rPr>
        <w:br/>
        <w:t>ВЫСШЕГО ПРОФЕССИОНАЛЬНОГО ОБРАЗОВАНИЯ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b/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b/>
          <w:sz w:val="28"/>
        </w:rPr>
      </w:pPr>
      <w:r>
        <w:rPr>
          <w:b/>
          <w:sz w:val="28"/>
        </w:rPr>
        <w:t>Направление: 6</w:t>
      </w:r>
      <w:r>
        <w:rPr>
          <w:b/>
          <w:sz w:val="28"/>
        </w:rPr>
        <w:t>4</w:t>
      </w:r>
      <w:r>
        <w:rPr>
          <w:b/>
          <w:sz w:val="28"/>
        </w:rPr>
        <w:t>0</w:t>
      </w:r>
      <w:r>
        <w:rPr>
          <w:b/>
          <w:sz w:val="28"/>
        </w:rPr>
        <w:t>2</w:t>
      </w:r>
      <w:r>
        <w:rPr>
          <w:b/>
          <w:sz w:val="28"/>
        </w:rPr>
        <w:t xml:space="preserve">00 </w:t>
      </w:r>
      <w:r>
        <w:rPr>
          <w:b/>
          <w:sz w:val="28"/>
        </w:rPr>
        <w:t>Электроэнергетика и электротехника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b/>
          <w:sz w:val="28"/>
        </w:rPr>
      </w:pP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3" w:hanging="3"/>
        <w:jc w:val="center"/>
        <w:rPr>
          <w:b/>
          <w:sz w:val="28"/>
        </w:rPr>
      </w:pPr>
      <w:r>
        <w:rPr>
          <w:b/>
          <w:sz w:val="28"/>
        </w:rPr>
        <w:t>Квалификация: Бакалавр</w:t>
      </w:r>
    </w:p>
    <w:p w:rsidR="0043036F" w:rsidRDefault="0043036F" w:rsidP="0043036F">
      <w:pPr>
        <w:ind w:leftChars="0" w:left="3" w:hanging="3"/>
        <w:jc w:val="both"/>
        <w:rPr>
          <w:sz w:val="28"/>
        </w:rPr>
      </w:pPr>
    </w:p>
    <w:p w:rsidR="0043036F" w:rsidRDefault="0043036F" w:rsidP="0043036F">
      <w:pPr>
        <w:ind w:leftChars="0" w:left="3" w:hanging="3"/>
        <w:jc w:val="both"/>
        <w:rPr>
          <w:sz w:val="28"/>
        </w:rPr>
      </w:pPr>
    </w:p>
    <w:p w:rsidR="0043036F" w:rsidRDefault="0043036F" w:rsidP="0043036F">
      <w:pPr>
        <w:ind w:leftChars="0" w:left="3" w:hanging="3"/>
        <w:jc w:val="both"/>
        <w:rPr>
          <w:rFonts w:eastAsia="Arial"/>
          <w:sz w:val="28"/>
        </w:rPr>
      </w:pPr>
    </w:p>
    <w:p w:rsidR="0043036F" w:rsidRDefault="0043036F" w:rsidP="0043036F">
      <w:pPr>
        <w:ind w:leftChars="0" w:left="2" w:hanging="2"/>
        <w:rPr>
          <w:sz w:val="22"/>
        </w:rPr>
      </w:pPr>
    </w:p>
    <w:p w:rsidR="0043036F" w:rsidRDefault="0043036F" w:rsidP="0043036F">
      <w:pPr>
        <w:ind w:leftChars="0" w:left="2" w:hanging="2"/>
        <w:rPr>
          <w:sz w:val="20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rFonts w:eastAsia="Calibri"/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b/>
          <w:sz w:val="28"/>
        </w:rPr>
      </w:pPr>
    </w:p>
    <w:p w:rsidR="0043036F" w:rsidRDefault="0043036F" w:rsidP="0043036F">
      <w:pPr>
        <w:ind w:leftChars="0" w:left="3" w:hanging="3"/>
        <w:jc w:val="center"/>
        <w:rPr>
          <w:b/>
          <w:sz w:val="28"/>
        </w:rPr>
      </w:pPr>
      <w:r>
        <w:rPr>
          <w:b/>
          <w:sz w:val="28"/>
        </w:rPr>
        <w:t>Бишкек 2021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both"/>
      </w:pPr>
      <w:r>
        <w:t xml:space="preserve">1.1. Настоящий Государственный образовательный стандарт по </w:t>
      </w:r>
      <w:r>
        <w:rPr>
          <w:b/>
        </w:rPr>
        <w:t>6</w:t>
      </w:r>
      <w:r>
        <w:rPr>
          <w:b/>
        </w:rPr>
        <w:t>4</w:t>
      </w:r>
      <w:r>
        <w:rPr>
          <w:b/>
        </w:rPr>
        <w:t>0</w:t>
      </w:r>
      <w:r>
        <w:rPr>
          <w:b/>
        </w:rPr>
        <w:t>2</w:t>
      </w:r>
      <w:r>
        <w:rPr>
          <w:b/>
        </w:rPr>
        <w:t xml:space="preserve">00 </w:t>
      </w:r>
      <w:r>
        <w:rPr>
          <w:b/>
        </w:rPr>
        <w:t>Электроэнергетика и электротехника</w:t>
      </w:r>
      <w:r>
        <w:rPr>
          <w:color w:val="000000"/>
        </w:rPr>
        <w:t xml:space="preserve"> </w:t>
      </w:r>
      <w:r>
        <w:t>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"Об образовании" и иными нормативными правовыми актами Кыргызской Республики в области образования и утверждён в порядке, определённом Кабинетом Министров Кыргызской Республики.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both"/>
      </w:pPr>
      <w:r>
        <w:t>Выполнение настоящего Государственного образовательного стандарта является обязательным для всех вузов, реализующих профессиональные образовательные программы по подготовке бакалавров, независимо от форм собственности и ведомственной принадлежности.</w:t>
      </w:r>
    </w:p>
    <w:p w:rsidR="0043036F" w:rsidRDefault="0043036F" w:rsidP="0043036F">
      <w:pPr>
        <w:widowControl w:val="0"/>
        <w:autoSpaceDE w:val="0"/>
        <w:autoSpaceDN w:val="0"/>
        <w:adjustRightInd w:val="0"/>
        <w:ind w:leftChars="0" w:left="2" w:hanging="2"/>
        <w:jc w:val="center"/>
        <w:rPr>
          <w:b/>
        </w:rPr>
      </w:pPr>
      <w:r>
        <w:rPr>
          <w:b/>
        </w:rPr>
        <w:t>1.2. Термины, определения, обозначения, сокращения</w:t>
      </w:r>
    </w:p>
    <w:p w:rsidR="00965E16" w:rsidRDefault="0043036F" w:rsidP="00430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"Об образовании" и международными договорами в сфере высшего профессионального образования, вступившими в силу в установленном законом порядке, участницей которых является Кыргызская Республика: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основная образовательная программа </w:t>
      </w:r>
      <w:r>
        <w:rPr>
          <w:color w:val="000000"/>
        </w:rPr>
        <w:t>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</w:t>
      </w:r>
      <w:r>
        <w:rPr>
          <w:color w:val="000000"/>
        </w:rPr>
        <w:t>есса по соответствующему направлению подготовки;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>направление подготовки</w:t>
      </w:r>
      <w:r>
        <w:rPr>
          <w:b/>
          <w:color w:val="000000"/>
        </w:rPr>
        <w:t xml:space="preserve"> - </w:t>
      </w:r>
      <w:r>
        <w:rPr>
          <w:color w:val="000000"/>
        </w:rPr>
        <w:t>совокупность образовательных программ для подготовки кадров с высшим профессиональным образованием (специалистов, бакалавров и магистров) различных профилей, интегрируемых на основан</w:t>
      </w:r>
      <w:r>
        <w:rPr>
          <w:color w:val="000000"/>
        </w:rPr>
        <w:t>ии общности фундаментальной подготовки;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>профиль</w:t>
      </w:r>
      <w:r>
        <w:rPr>
          <w:b/>
          <w:color w:val="000000"/>
        </w:rPr>
        <w:t xml:space="preserve"> </w:t>
      </w:r>
      <w:r>
        <w:rPr>
          <w:color w:val="000000"/>
        </w:rPr>
        <w:t>- направленность основной образовательной программы на конкретный вид и (или) объект профессиональной</w:t>
      </w:r>
      <w:r>
        <w:rPr>
          <w:b/>
          <w:color w:val="000000"/>
        </w:rPr>
        <w:t xml:space="preserve"> </w:t>
      </w:r>
      <w:r>
        <w:rPr>
          <w:color w:val="000000"/>
        </w:rPr>
        <w:t>деятельности;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компетенция </w:t>
      </w:r>
      <w:r>
        <w:rPr>
          <w:i/>
          <w:color w:val="000000"/>
        </w:rPr>
        <w:t>-</w:t>
      </w:r>
      <w:r>
        <w:rPr>
          <w:color w:val="000000"/>
        </w:rPr>
        <w:t xml:space="preserve"> заранее заданное социальное требование (норма) к образовательной подготовке ученика (обучаемого), необходимой для его эффективной продуктивной деятельности в определенной сфере;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 xml:space="preserve">бакалавр </w:t>
      </w:r>
      <w:r>
        <w:rPr>
          <w:i/>
          <w:color w:val="000000"/>
        </w:rPr>
        <w:t>-</w:t>
      </w:r>
      <w:r>
        <w:rPr>
          <w:color w:val="000000"/>
        </w:rPr>
        <w:t xml:space="preserve"> уровень квалификации высшего профессионального образования, дающий</w:t>
      </w:r>
      <w:r>
        <w:rPr>
          <w:color w:val="000000"/>
        </w:rPr>
        <w:t xml:space="preserve"> право для поступления в магистратуру и осуществления профессиональной деятельности: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магистр</w:t>
      </w:r>
      <w:r>
        <w:rPr>
          <w:b/>
          <w:color w:val="000000"/>
        </w:rPr>
        <w:t xml:space="preserve"> </w:t>
      </w:r>
      <w:r>
        <w:rPr>
          <w:color w:val="000000"/>
        </w:rPr>
        <w:t>- уровень квалификации высшего профессионального образования, дающий право для поступления в аспирантуру и (или) в базовую докторантуру (РhD/по профилю) и осущест</w:t>
      </w:r>
      <w:r>
        <w:rPr>
          <w:color w:val="000000"/>
        </w:rPr>
        <w:t>вления профессиональной деятельности;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 xml:space="preserve"> кредит</w:t>
      </w:r>
      <w:r>
        <w:rPr>
          <w:color w:val="000000"/>
        </w:rPr>
        <w:t xml:space="preserve"> - условная мера трудоемкости основной профессиональной образовательной программы; 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>результаты обучения</w:t>
      </w:r>
      <w:r>
        <w:rPr>
          <w:color w:val="000000"/>
        </w:rPr>
        <w:t xml:space="preserve"> - компетенции, приобретенные в результате обучения по основной образовательной программе/модулю;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>общенаучные компетенции</w:t>
      </w:r>
      <w:r>
        <w:rPr>
          <w:color w:val="000000"/>
        </w:rPr>
        <w:t xml:space="preserve"> - представляют собой характеристики, являющиеся общими для всех (или большинства) видов профессиональной деятельности: способность к обучению, анализу и синтезу и т.д.; 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>инструментальные компетенции -</w:t>
      </w:r>
      <w:r>
        <w:rPr>
          <w:color w:val="000000"/>
        </w:rPr>
        <w:t xml:space="preserve"> включают когнитивные способност</w:t>
      </w:r>
      <w:r>
        <w:rPr>
          <w:color w:val="000000"/>
        </w:rPr>
        <w:t>и, способность понимать и использовать идеи и соображения; методологические способности, способность понимать и управлять окружающей средой, организовывать время, выстраивать стратегии обучения, принятия решений и разрешения проблем; технологические умения</w:t>
      </w:r>
      <w:r>
        <w:rPr>
          <w:color w:val="000000"/>
        </w:rPr>
        <w:t>, умения, связанные с использованием техники компьютерные навыки и способности информационного управления; лингвистические умения, коммуникативные компетенции;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i/>
          <w:color w:val="000000"/>
        </w:rPr>
        <w:t>социально-личностные и общекультурные компетенции</w:t>
      </w:r>
      <w:r>
        <w:rPr>
          <w:color w:val="000000"/>
        </w:rPr>
        <w:t xml:space="preserve"> – индивидуальные способности, связанные с уме</w:t>
      </w:r>
      <w:r>
        <w:rPr>
          <w:color w:val="000000"/>
        </w:rPr>
        <w:t>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</w:t>
      </w:r>
      <w:r>
        <w:rPr>
          <w:color w:val="000000"/>
        </w:rPr>
        <w:t xml:space="preserve">ва; </w:t>
      </w:r>
    </w:p>
    <w:p w:rsidR="00965E16" w:rsidRDefault="006A62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color w:val="000000"/>
        </w:rPr>
      </w:pPr>
      <w:r>
        <w:rPr>
          <w:b/>
          <w:i/>
          <w:color w:val="000000"/>
        </w:rPr>
        <w:t>профессиональный стандарт</w:t>
      </w:r>
      <w:r>
        <w:rPr>
          <w:color w:val="000000"/>
        </w:rPr>
        <w:t xml:space="preserve"> - основополагающий документ,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сотрудника, которому тот обязан </w:t>
      </w:r>
      <w:r>
        <w:rPr>
          <w:color w:val="000000"/>
        </w:rPr>
        <w:lastRenderedPageBreak/>
        <w:t>соответст</w:t>
      </w:r>
      <w:r>
        <w:rPr>
          <w:color w:val="000000"/>
        </w:rPr>
        <w:t>вовать, чтобы по праву занимать свое место в штате любой организации, вне зависимости от рода ее деятельности.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>
        <w:rPr>
          <w:b/>
          <w:color w:val="000000"/>
        </w:rPr>
        <w:t>1.3.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Сокращения и обозначения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 настоящем Государственном образовательном стандарте используются следующие сокращения: </w:t>
      </w:r>
      <w:r>
        <w:rPr>
          <w:b/>
          <w:color w:val="000000"/>
        </w:rPr>
        <w:t xml:space="preserve">ГОС </w:t>
      </w:r>
      <w:r>
        <w:rPr>
          <w:color w:val="000000"/>
        </w:rPr>
        <w:t>— Государственный образовательный стандарт;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ВПО </w:t>
      </w:r>
      <w:r>
        <w:rPr>
          <w:color w:val="000000"/>
        </w:rPr>
        <w:t>— высшее профессиональное образование;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ООП </w:t>
      </w:r>
      <w:r>
        <w:rPr>
          <w:color w:val="000000"/>
        </w:rPr>
        <w:t>- основная образовательная программа;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УМО </w:t>
      </w:r>
      <w:r>
        <w:rPr>
          <w:color w:val="000000"/>
        </w:rPr>
        <w:t>— учебно-методические объединения;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ЦД ООП </w:t>
      </w:r>
      <w:r>
        <w:rPr>
          <w:color w:val="000000"/>
        </w:rPr>
        <w:t>- цикл дисциплин основной образовательной программы;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ОК </w:t>
      </w:r>
      <w:r>
        <w:rPr>
          <w:color w:val="000000"/>
        </w:rPr>
        <w:t>- общенаучные компетенции</w:t>
      </w:r>
      <w:r>
        <w:rPr>
          <w:color w:val="000000"/>
        </w:rPr>
        <w:t>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ИК </w:t>
      </w:r>
      <w:r>
        <w:rPr>
          <w:color w:val="000000"/>
        </w:rPr>
        <w:t xml:space="preserve">- инструментальные компетенции;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ПК </w:t>
      </w:r>
      <w:r>
        <w:rPr>
          <w:color w:val="000000"/>
        </w:rPr>
        <w:t>- профессиональные компетенции;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СЛК </w:t>
      </w:r>
      <w:r>
        <w:rPr>
          <w:color w:val="000000"/>
        </w:rPr>
        <w:t>- социально-личностные и общекультурные компетенции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2. Область применения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2.1.</w:t>
      </w:r>
      <w:r>
        <w:rPr>
          <w:color w:val="000000"/>
        </w:rPr>
        <w:t xml:space="preserve"> Настоящий Государственный образовательный стандарт высшего профессионального образования (далее - ГОС ВПО) представляет собой совокупность норм, правил и требований, обязательных при реализации ООП по направлению подготовки бакалавров 640200 – «Электроэне</w:t>
      </w:r>
      <w:r>
        <w:rPr>
          <w:color w:val="000000"/>
        </w:rPr>
        <w:t>ргетика и электротехника» и является основанием для разработки учебной и организационно- методической документации, оценки  качества освоения основных образовательных программ высшего профессионального образования всеми образовательными организациями высше</w:t>
      </w:r>
      <w:r>
        <w:rPr>
          <w:color w:val="000000"/>
        </w:rPr>
        <w:t>го профессионального образования (далее – вузы) независимо от их форм собственности и ведомственной принадлежности, имеющих лицензию по соответствующему направлению подготовки бакалавров на территории Кыргызской Республики.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2.2.</w:t>
      </w:r>
      <w:r>
        <w:rPr>
          <w:color w:val="000000"/>
        </w:rPr>
        <w:t xml:space="preserve">  Основными пользователями Г</w:t>
      </w:r>
      <w:r>
        <w:rPr>
          <w:color w:val="000000"/>
        </w:rPr>
        <w:t xml:space="preserve">ОС ВПО по направлению </w:t>
      </w:r>
      <w:r>
        <w:rPr>
          <w:b/>
          <w:color w:val="000000"/>
        </w:rPr>
        <w:t>640200 – «Электроэнергетика и электротехника»</w:t>
      </w:r>
      <w:r>
        <w:rPr>
          <w:color w:val="000000"/>
        </w:rPr>
        <w:t xml:space="preserve"> являются: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администрация и научно–педагогический (профессорско-преподавательский состав, научные сотрудники) состав вузов, ответственные в своих вузах за разработку, эффективную реализацию </w:t>
      </w:r>
      <w:r>
        <w:rPr>
          <w:color w:val="000000"/>
        </w:rPr>
        <w:t>и обновление основных профессиональных образовательных программ с учетом достижений науки, техники и социальной сферы по данному направлению и уровню подготовки;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студенты, ответственные за эффективную реализацию своей учебной деятельности по освоению основ</w:t>
      </w:r>
      <w:r>
        <w:rPr>
          <w:color w:val="000000"/>
        </w:rPr>
        <w:t>ной образовательной программы вуза по данному направлению и уровню подготовки;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объединения специалистов и работодателей в соответствующей сфере профессиональной деятельности;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учебно–методические объединения и советы, обеспечивающие разработку основных обра</w:t>
      </w:r>
      <w:r>
        <w:rPr>
          <w:color w:val="000000"/>
        </w:rPr>
        <w:t>зовательных программ по поручению центрального государственного органа исполнительной власти в сфере образования Кыргызской Республики;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государственные органы исполнительной власти, обеспечивающие финансирование высшего профессионального образования;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уполномоченные государственные органы исполнительной власти, обеспечивающие контроль за соблюдением законодательства в системе высшего профессионального образования, осуществляющие контроль качества в сфере высшего профессионального образования;</w:t>
      </w:r>
    </w:p>
    <w:p w:rsidR="00965E16" w:rsidRDefault="006A62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аккредитац</w:t>
      </w:r>
      <w:r>
        <w:rPr>
          <w:color w:val="000000"/>
        </w:rPr>
        <w:t>ионные агентства, осуществляющие аккредитацию образовательных программ и организаций в сфере высшего профессионального образования.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2.3. Требования к уровню подготовленности абитуриентов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2.3.1.</w:t>
      </w:r>
      <w:r>
        <w:rPr>
          <w:color w:val="000000"/>
        </w:rPr>
        <w:t xml:space="preserve"> Уровень образования абитуриента, претендующего на получение вы</w:t>
      </w:r>
      <w:r>
        <w:rPr>
          <w:color w:val="000000"/>
        </w:rPr>
        <w:t>сшего профессионального образования с присвоением квалификации «бакалавр», - среднее общее образование или среднее профессиональное (или высшее профессиональное) образование.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2.3.2.</w:t>
      </w:r>
      <w:r>
        <w:rPr>
          <w:color w:val="000000"/>
        </w:rPr>
        <w:t xml:space="preserve"> Абитуриент должен иметь документ государственного образца о среднем общем образовании или среднем профессиональном (или высшем профессиональном) образовании.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3.  Общая характеристика направления подготовки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3.1.</w:t>
      </w:r>
      <w:r>
        <w:rPr>
          <w:color w:val="000000"/>
        </w:rPr>
        <w:t xml:space="preserve"> В Кыргызской Республике по направлению подго</w:t>
      </w:r>
      <w:r>
        <w:rPr>
          <w:color w:val="000000"/>
        </w:rPr>
        <w:t xml:space="preserve">товки </w:t>
      </w:r>
      <w:r>
        <w:rPr>
          <w:b/>
          <w:color w:val="000000"/>
        </w:rPr>
        <w:t>640200 – «Электроэнергетика и электротехника»</w:t>
      </w:r>
      <w:r>
        <w:rPr>
          <w:color w:val="000000"/>
        </w:rPr>
        <w:t xml:space="preserve"> реализуются следующие: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- ООП ВПО по подготовке бакалавров;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ООП ВПО по подготовке магистров.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Выпускникам вузов, полностью освоившим ООП ВПО по подготовке бакалавров и успешно прошедшим государственную итоговую аттестацию в установленном порядке, выдается диплом о высшем образовании с присвоением квалификации «бакалавр».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Выпускникам вузов, полность</w:t>
      </w:r>
      <w:r>
        <w:rPr>
          <w:color w:val="000000"/>
        </w:rPr>
        <w:t xml:space="preserve">ю освоившим ООП ВПО по подготовке магистров и успешно прошедшим государственную итоговую аттестацию в установленном порядке, выдается диплом о высшем образовании </w:t>
      </w:r>
      <w:r>
        <w:rPr>
          <w:b/>
          <w:color w:val="000000"/>
        </w:rPr>
        <w:t xml:space="preserve">с </w:t>
      </w:r>
      <w:r>
        <w:rPr>
          <w:color w:val="000000"/>
        </w:rPr>
        <w:t>присвоением квалификации «магистр».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Профили ООП ВПО в рамках направления подготовки бакалавр</w:t>
      </w:r>
      <w:r>
        <w:rPr>
          <w:color w:val="000000"/>
        </w:rPr>
        <w:t>ов определяются вузом на основе отраслевых/секторальных рамок квалификаций (при наличии).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3.2.</w:t>
      </w:r>
      <w:r>
        <w:rPr>
          <w:color w:val="000000"/>
        </w:rPr>
        <w:t xml:space="preserve"> (Указываются нормативные сроки обучения, общая трудоемкость в кредитах освоения ООП ВПО).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Нормативный срок освоения ООП ВПО подготовки бакалавров по направлению</w:t>
      </w:r>
      <w:r>
        <w:rPr>
          <w:color w:val="000000"/>
        </w:rPr>
        <w:t xml:space="preserve"> 640200-«Электроэнергетика и электротехника» на базе среднего общего образования при очной форме обучения составляет не менее 4 лет.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Сроки освоения ООП ВПО подготовки бакалавров по очно-заочной (вечерней) и заочной формам обучения, а также в случае сочетания различных форм обучения, увеличиваются вузом от шести месяцев до одного года относительно установленного нормативного срока освоен</w:t>
      </w:r>
      <w:r>
        <w:rPr>
          <w:color w:val="000000"/>
        </w:rPr>
        <w:t>ия при очной форме обучения.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Лицам, имеющим среднее профессиональное образование соответствующего профиля или высшее профессиональное образование, предоставляется право на освоение ООП ВПО по подготовке бакалавра по ускоренным программам. Срок обучения при</w:t>
      </w:r>
      <w:r>
        <w:rPr>
          <w:color w:val="000000"/>
        </w:rPr>
        <w:t xml:space="preserve"> реализации ускоренных программ определяется по результатам переаттестации (перезачета) полностью или частично результатов обучения по отдельным дисциплинам (молулям) и (или) отдельным практикам, освоенным (пройденным) студентом при получении среднего проф</w:t>
      </w:r>
      <w:r>
        <w:rPr>
          <w:color w:val="000000"/>
        </w:rPr>
        <w:t>ессионального образования и (или) высшего образования по иной образовательной программе.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Соответствие профиля среднего профессионального образования профилю высшего профессионального образования определяется вузом самостоятельно.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Сроки освоения ООП ВПО по </w:t>
      </w:r>
      <w:r>
        <w:rPr>
          <w:color w:val="000000"/>
        </w:rPr>
        <w:t>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При обучении по индивидуальному учебному плану, вне зависимости от формы получения образования, </w:t>
      </w:r>
      <w:r>
        <w:rPr>
          <w:color w:val="000000"/>
        </w:rPr>
        <w:t>срок обучения устанавливается вузом самостоятельно.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При обучении по индивидуальному учебному плану лиц с ограниченными возможностями здоровья, вуз вправе продлить срок по сравнению со сроком, установленным для соответствующей формы получения образования.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 xml:space="preserve">ные нормативные сроки освоения ООП ВПО подготовки бакалавров и магистров устанавливаются </w:t>
      </w:r>
      <w:r w:rsidR="0043036F">
        <w:rPr>
          <w:color w:val="000000"/>
        </w:rPr>
        <w:t>Кабинетом Министров</w:t>
      </w:r>
      <w:bookmarkStart w:id="0" w:name="_GoBack"/>
      <w:bookmarkEnd w:id="0"/>
      <w:r>
        <w:rPr>
          <w:color w:val="000000"/>
        </w:rPr>
        <w:t xml:space="preserve"> Кыргызской Республики.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3.3.</w:t>
      </w:r>
      <w:r>
        <w:rPr>
          <w:color w:val="000000"/>
        </w:rPr>
        <w:t xml:space="preserve"> Общая трудоемкость освоения ООП ВПО подготовки бакалавров равна не менее 240 кредитов.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Трудоемкость ООП ВПО по очной форме обучения за учебный год равна не менее 60 кредитов.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Трудоемкость одного учебного семестра равна 30 кредитам (при двухсеместровом построении учебного процесса).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Один кредит эквивалентен 30 часам учебной работы студента (в</w:t>
      </w:r>
      <w:r>
        <w:rPr>
          <w:color w:val="000000"/>
        </w:rPr>
        <w:t>ключая его аудиторную, самостоятельную работу и все виды аттестации).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Трудоемкость ООП по очно-заочной (вечерней) и заочной формам обучения, а также в случае сочетания различных форм обучения за учебный год составляет не менее 48 кредитов.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61"/>
          <w:tab w:val="left" w:pos="1709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3.4.</w:t>
      </w:r>
      <w:r>
        <w:rPr>
          <w:color w:val="000000"/>
        </w:rPr>
        <w:tab/>
        <w:t>Цели ООП ВП</w:t>
      </w:r>
      <w:r>
        <w:rPr>
          <w:color w:val="000000"/>
        </w:rPr>
        <w:t>О по направлению подготовки 640200 Электроэнергетика и электротехника в области обучения и воспитания личности.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3.4.1.</w:t>
      </w:r>
      <w:r>
        <w:rPr>
          <w:color w:val="000000"/>
        </w:rPr>
        <w:t xml:space="preserve"> В области обучения целью  ООП ВПО по  направлению подготовки 640200 Электроэнергетика и электротехника  является  подготовка в области основ гуманитарных, </w:t>
      </w:r>
      <w:r>
        <w:rPr>
          <w:color w:val="000000"/>
        </w:rPr>
        <w:lastRenderedPageBreak/>
        <w:t>социальных, экономических, математических и естественнонаучных знаний, получение высшего профессиона</w:t>
      </w:r>
      <w:r>
        <w:rPr>
          <w:color w:val="000000"/>
        </w:rPr>
        <w:t>льно профилированного 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3.4.2.</w:t>
      </w:r>
      <w:r>
        <w:rPr>
          <w:color w:val="000000"/>
        </w:rPr>
        <w:t xml:space="preserve"> В  обла</w:t>
      </w:r>
      <w:r>
        <w:rPr>
          <w:color w:val="000000"/>
        </w:rPr>
        <w:t xml:space="preserve">сти  воспитания  личности  целью  ООП  ВПО  по  направлению подготовки </w:t>
      </w:r>
      <w:r>
        <w:rPr>
          <w:b/>
          <w:color w:val="000000"/>
        </w:rPr>
        <w:t>640200 – «Электроэнергетика и электротехника»</w:t>
      </w:r>
      <w:r>
        <w:rPr>
          <w:color w:val="000000"/>
        </w:rPr>
        <w:t xml:space="preserve"> является формирование социально-личностных качеств студентов: целеустремленности, организованности, трудолюбия, ответственности, гражданств</w:t>
      </w:r>
      <w:r>
        <w:rPr>
          <w:color w:val="000000"/>
        </w:rPr>
        <w:t>енности, коммуникативности, толерантности, повышения общей культуры и т. д.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  <w:tab w:val="left" w:pos="4349"/>
          <w:tab w:val="left" w:pos="5381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3.5. Область профессиональной деятельности выпускников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  <w:tab w:val="left" w:pos="4349"/>
          <w:tab w:val="left" w:pos="5381"/>
        </w:tabs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 xml:space="preserve">Область профессиональной деятельности выпускников по направлению подготовки </w:t>
      </w:r>
      <w:r>
        <w:rPr>
          <w:b/>
          <w:color w:val="000000"/>
        </w:rPr>
        <w:t>640200 – «Электроэнергетика и электротехника»</w:t>
      </w:r>
      <w:r>
        <w:rPr>
          <w:color w:val="000000"/>
        </w:rPr>
        <w:t xml:space="preserve"> вкл</w:t>
      </w:r>
      <w:r>
        <w:rPr>
          <w:color w:val="000000"/>
        </w:rPr>
        <w:t>ючает: совокупность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</w:t>
      </w:r>
      <w:r>
        <w:rPr>
          <w:color w:val="000000"/>
        </w:rPr>
        <w:t xml:space="preserve"> систем, реализующих эти процессы.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3.6. Объекты профессион</w:t>
      </w:r>
      <w:r>
        <w:rPr>
          <w:color w:val="000000"/>
        </w:rPr>
        <w:t xml:space="preserve">альной деятельности выпускников 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Объектами профессиональной деятельности выпускников по направлению подготовки 640200 – «Электроэнергетика и электротехника» являются: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 электрические станции и подстанции;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 электроэнергетические системы и сети;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системы электроснабжения объектов техники и отраслей хозяйства;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электроэнергетические, электротехнические, электрофизические и технологические установки высокого напряжения;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устройства автоматического управления и релейной защиты в электроэнергетике;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энергетические установки, электростанции и комплексы на базе нетрадиционных и возобновляемых источников энергии;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электрические машины, трансформаторы, электромеханические комплексы и системы, включая их управление и регулирование;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электрические и эле</w:t>
      </w:r>
      <w:r>
        <w:rPr>
          <w:color w:val="000000"/>
        </w:rPr>
        <w:t>ктронные аппараты, комплексы и системы электромеханических и электронных аппаратов, автоматические устройства и системы управления потоками энергии;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электрическая изоляция электроэнергетических и электротехнических устройств, кабельные изделия и провода,</w:t>
      </w:r>
      <w:r>
        <w:rPr>
          <w:color w:val="000000"/>
        </w:rPr>
        <w:t xml:space="preserve"> электрические конденсаторы, материалы и системы электрической изоляции кабелей, электрических конденсаторов;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электрический привод и автоматика механизмов и технологических комплексов в различных отраслях хозяйства;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электротехнологические установки и п</w:t>
      </w:r>
      <w:r>
        <w:rPr>
          <w:color w:val="000000"/>
        </w:rPr>
        <w:t>роцессы, установки и приборы электронагрева;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различные виды электрического транспорта и средства обеспечения эффективного функционирования транспортных систем;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элементы и системы электрического оборудования автомобилей и тракторов;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электроэнергетичес</w:t>
      </w:r>
      <w:r>
        <w:rPr>
          <w:color w:val="000000"/>
        </w:rPr>
        <w:t>кие системы, преобразовательные устройства и электроприводы энергетических, технологических и вспомогательных установок, их системы автоматики, контроля и диагностики на летательных аппаратах;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электрическое хозяйство промышленных предприятий, заводское э</w:t>
      </w:r>
      <w:r>
        <w:rPr>
          <w:color w:val="000000"/>
        </w:rPr>
        <w:t>лектрооборудование низкого и высокого напряжения, электротехнические установки, сети предприятий, организаций и учреждений;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нормативно-техническая документация и системы стандартизации;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054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методы и средства контроля качества электроэнергии, изделий электротехнической промышленности, систем электрооборудования и электроснабжения, электротехнологических установок и систем.</w:t>
      </w:r>
    </w:p>
    <w:p w:rsidR="00965E16" w:rsidRDefault="006A62B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Виды профессиональной деятельности выпускников:</w:t>
      </w:r>
    </w:p>
    <w:p w:rsidR="00965E16" w:rsidRDefault="006A62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проектно-конструкторск</w:t>
      </w:r>
      <w:r>
        <w:rPr>
          <w:color w:val="000000"/>
        </w:rPr>
        <w:t>ая;</w:t>
      </w:r>
    </w:p>
    <w:p w:rsidR="00965E16" w:rsidRDefault="006A62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производственно-технологическая;</w:t>
      </w:r>
    </w:p>
    <w:p w:rsidR="00965E16" w:rsidRDefault="006A62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организационно-управленческая;</w:t>
      </w:r>
    </w:p>
    <w:p w:rsidR="00965E16" w:rsidRDefault="006A62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научно-исследовательская;</w:t>
      </w:r>
    </w:p>
    <w:p w:rsidR="00965E16" w:rsidRDefault="006A62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монтажно-наладочная; </w:t>
      </w:r>
    </w:p>
    <w:p w:rsidR="00965E16" w:rsidRDefault="006A62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сервисно-эксплуатационная.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Конкретные виды профессиональной деятельности, к которым, в основном, готовится выпускник, должны определять содержание его образовательной программы, разрабатываемой вузом на основании соответствующего профессионального стандарта (при наличии) или сов</w:t>
      </w:r>
      <w:r>
        <w:rPr>
          <w:color w:val="000000"/>
        </w:rPr>
        <w:t xml:space="preserve">местно с заинтересованными работодателями.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3.8. Задачи профессиональной деятельности выпускников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а)</w:t>
      </w:r>
      <w:r>
        <w:rPr>
          <w:rFonts w:ascii="Times" w:eastAsia="Times" w:hAnsi="Times" w:cs="Times"/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Проектно-конструкторская деятельность: </w:t>
      </w:r>
    </w:p>
    <w:p w:rsidR="00965E16" w:rsidRDefault="006A6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сбор и анализ данных для проектирования;</w:t>
      </w:r>
    </w:p>
    <w:p w:rsidR="00965E16" w:rsidRDefault="006A6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расчет и проектирование технических объектов в соответствии с техническим </w:t>
      </w:r>
      <w:r>
        <w:rPr>
          <w:color w:val="000000"/>
        </w:rPr>
        <w:t>заданием с использованием стандартных средств автоматизации проектирования;</w:t>
      </w:r>
    </w:p>
    <w:p w:rsidR="00965E16" w:rsidRDefault="006A6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разработка проектной и рабочей технической документации, оформление проектно-конструкторских работ;</w:t>
      </w:r>
    </w:p>
    <w:p w:rsidR="00965E16" w:rsidRDefault="006A6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контроль соответствия разрабатываемых проектов и технической документации станда</w:t>
      </w:r>
      <w:r>
        <w:rPr>
          <w:color w:val="000000"/>
        </w:rPr>
        <w:t>ртам, техническим условиям и другим нормативным документам;</w:t>
      </w:r>
    </w:p>
    <w:p w:rsidR="00965E16" w:rsidRDefault="006A6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проведение предварительного технико-экономического обоснования проектных расчетов;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 xml:space="preserve">б) Производственно-технологическая деятельность: 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организация рабочих мест, их техническое оснащение, размещение технологического оборудования;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контроль за соблюдением технологической дисциплины;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обслуживание технологического оборудования;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организация метрологического обеспечения технологических процессов</w:t>
      </w:r>
      <w:r>
        <w:rPr>
          <w:color w:val="000000"/>
        </w:rPr>
        <w:t>, использование типовых методов контроля качества продукции;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участие в работах по доводке и освоению технологических процессов в ходе подготовки и производства новой продукции;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оценка инновационного потенциала новой продукции;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контроль за соблюдением экологической безопасности;</w:t>
      </w:r>
    </w:p>
    <w:p w:rsidR="00965E16" w:rsidRDefault="006A6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подготовка документации по менеджменту качества технологических процессов, составление и оформление оперативной документации.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в) Организационно-управленческая деятельность: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составление организационных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организация работы малых коллективов исполнителей;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планирование работы персонала и фондов оплаты труда;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подготовка данных для </w:t>
      </w:r>
      <w:r>
        <w:rPr>
          <w:color w:val="000000"/>
        </w:rPr>
        <w:t>выбора и обоснования технических и организационных решений на основе экономического анализа;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проведение организационно-плановых работ по созданию (реорганизации) производственных участков;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разработка оперативных планов работы первичных производственных под</w:t>
      </w:r>
      <w:r>
        <w:rPr>
          <w:color w:val="000000"/>
        </w:rPr>
        <w:t>разделений;</w:t>
      </w:r>
    </w:p>
    <w:p w:rsidR="00965E16" w:rsidRDefault="006A62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проведение анализа затрат и результатов деятельности производственных подразделений;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г) Научно-исследовательская деятельность: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изучение научно-технической информации, отечественного и зарубежного опыта по тематике исследования;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математическое моделирование процессов и объектов на базе стандартных пакетов прикладных программ автоматизированного проектирования и исследований;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проведение экспериментов по заданной методике, составление описания проводимых исследований и анализ резуль</w:t>
      </w:r>
      <w:r>
        <w:rPr>
          <w:color w:val="000000"/>
        </w:rPr>
        <w:t>татов;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подготовка данных для составления обзоров, отчетов и научных публикаций;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организация защиты объектов интеллектуальной собственности и результатов исследований;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составление отчета по выполненному заданию, участие во внедрении результатов исследований</w:t>
      </w:r>
      <w:r>
        <w:rPr>
          <w:color w:val="000000"/>
        </w:rPr>
        <w:t xml:space="preserve"> и разработок;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rPr>
          <w:color w:val="000000"/>
        </w:rPr>
      </w:pPr>
      <w:r>
        <w:rPr>
          <w:b/>
          <w:i/>
          <w:color w:val="000000"/>
        </w:rPr>
        <w:t xml:space="preserve">д) Монтажно-наладочная деятельность: </w:t>
      </w:r>
    </w:p>
    <w:p w:rsidR="00965E16" w:rsidRDefault="006A62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монтаж, наладка и испытания электроэнергетического и электротехнического оборудования;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0" w:hanging="2"/>
        <w:rPr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>е) Сервисно-эксплуатационная деятельность: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проверка технического состояния и остаточного ресурса электроэнергетического и электротехнического оборудования, организация профилактических осмотров и текущего ремонта;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приемка и освоение вводимого электроэнергетического и электротехнического оборудовани</w:t>
      </w:r>
      <w:r>
        <w:rPr>
          <w:color w:val="000000"/>
        </w:rPr>
        <w:t>я;</w:t>
      </w:r>
    </w:p>
    <w:p w:rsidR="00965E16" w:rsidRDefault="006A62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составление заявок на оборудование и запасные части, подготовка технической документации на ремонт;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составление инструкций по эксплуатации оборудования и программ испытаний.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both"/>
        <w:rPr>
          <w:color w:val="000000"/>
          <w:sz w:val="10"/>
          <w:szCs w:val="1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4.      Общие требования к условиям реализации ООП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center"/>
        <w:rPr>
          <w:b/>
          <w:color w:val="000000"/>
          <w:sz w:val="10"/>
          <w:szCs w:val="1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 Общие требования к правам и обязанностям вуза при реализации ООП.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4.1.1. Вузы самостоятельно разрабатывают ООП по направлению подготовки. ООП разрабатывается на основе соответствующего ГОС по направлению подготовки Кыргызской Республики и утверждается</w:t>
      </w:r>
      <w:r>
        <w:rPr>
          <w:color w:val="000000"/>
        </w:rPr>
        <w:t xml:space="preserve"> ученым советом вуза.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Вузы обязаны не реже одного раза в 5 лет обновлять ООП с учетом развития науки, культуры, экономики, техники, технологий и социальной сферы, придерживаясь рекомендаций по обеспечению гарантии качества образования в вузе, заключающихся</w:t>
      </w:r>
      <w:r>
        <w:rPr>
          <w:color w:val="000000"/>
        </w:rPr>
        <w:t>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разработке стратегии по обеспечению качества подготовки выпускников;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мониторинге, периодическом рецензировании образовательных программ;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разработке объективных процедур оценки уровня знаний и умений студентов, компетенций выпускников на основе четких согласованных критериев;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обеспечении качества и компетентности преподавательского состава;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обеспечении достаточными ресурсами всех </w:t>
      </w:r>
      <w:r>
        <w:rPr>
          <w:color w:val="000000"/>
        </w:rPr>
        <w:t>реализуемых образовательных программ, контроле эффективности их использования, в том числе путем опроса обучаемых;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регулярном проведении самообследования по согласованным критериям для оценки своей деятельности (стратегии) и сопоставления с другими обр</w:t>
      </w:r>
      <w:r>
        <w:rPr>
          <w:color w:val="000000"/>
        </w:rPr>
        <w:t>азовательными учреждениями;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в информировании общественности о результатах своей деятельности, планах, инновациях.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4.1.2. Оценка качества подготовки студентов и выпускников должна включать их текущую, промежуточную и итоговую государственную аттестацию.</w:t>
      </w:r>
      <w:r>
        <w:rPr>
          <w:color w:val="000000"/>
        </w:rPr>
        <w:t xml:space="preserve"> Базы оценочных средств разрабатываются и утверждаются вузом.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Требования к аттестации студентов и выпускников, к содержанию, объему и структуре выпускных квалификационных работ определяются вузом с учетом Положения об итоговой государственной аттестации выпускников вузов.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4.1.3. При разработке ООП должны быть определ</w:t>
      </w:r>
      <w:r>
        <w:rPr>
          <w:color w:val="000000"/>
        </w:rPr>
        <w:t xml:space="preserve">ены возможности вуза в формировании социально-личностных компетенций выпускников (например, компетенций социального взаимодействия, самоорганизации и самоуправления, системно-деятельного характера). Вуз </w:t>
      </w:r>
      <w:r>
        <w:rPr>
          <w:color w:val="000000"/>
        </w:rPr>
        <w:lastRenderedPageBreak/>
        <w:t>обязан сформировать социокультурную среду вуза, созда</w:t>
      </w:r>
      <w:r>
        <w:rPr>
          <w:color w:val="000000"/>
        </w:rPr>
        <w:t>ть условия,  необходимые для всестороннего развития личности.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Вуз обязан способствовать развитию социально-воспитательного компонента учебного процесса, включая развитие студенческого самоуправления, участие студентов в работе общественных организаций, спо</w:t>
      </w:r>
      <w:r>
        <w:rPr>
          <w:color w:val="000000"/>
        </w:rPr>
        <w:t>ртивных и творческих клубов, научных студенческих обществ.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4.1.4. ООП вуза должна содержать дисциплины по выбору студента. Порядок формирования дисциплин по выбору студента устанавливает ученый совет вуза.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4.1.5. Вуз обязан обеспечить студентам реальную во</w:t>
      </w:r>
      <w:r>
        <w:rPr>
          <w:color w:val="000000"/>
        </w:rPr>
        <w:t>зможность участвовать в формировании своей программы обучения.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4.1.6. Вуз обязан ознакомить студентов с их правами и обязанностями при формировании ООП, разъяснить, что избранные студентами дисциплины становятся для них обязательными, а их суммарная трудое</w:t>
      </w:r>
      <w:r>
        <w:rPr>
          <w:color w:val="000000"/>
        </w:rPr>
        <w:t>мкость не должна быть меньше, чем это предусмотрено учебным планом.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4.2.  Общие требования к правам и обязанностям студента при реализации ООП.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4.2.1. Студенты имеют право в пределах объема учебного времени, отведенного на освоение учебных дисциплин по выб</w:t>
      </w:r>
      <w:r>
        <w:rPr>
          <w:color w:val="000000"/>
        </w:rPr>
        <w:t>ору студента, предусмотренных ООП, выбирать конкретные дисциплины.</w:t>
      </w:r>
    </w:p>
    <w:p w:rsidR="00965E16" w:rsidRDefault="006A62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(специализацию).</w:t>
      </w:r>
    </w:p>
    <w:p w:rsidR="00965E16" w:rsidRDefault="006A62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В целях достижения результатов при освоении ООП в части разв</w:t>
      </w:r>
      <w:r>
        <w:rPr>
          <w:color w:val="000000"/>
        </w:rPr>
        <w:t>ития СЛК студенты обязаны участвовать в развитии студенческого самоуправления, работе общественных организаций, спортивных и творческих клубов, научных студенческих обществ.</w:t>
      </w:r>
    </w:p>
    <w:p w:rsidR="00965E16" w:rsidRDefault="006A62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Студенты обязаны выполнять в установленные сроки все задания, предусмотренные ООП вуза.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4.3. Максимальный объем учебной нагрузки студента устанавливается 45 часов в неделю, включая все виды его аудиторной и внеаудиторной (самостоятельной) учебной работы.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Объем аудиторных занятий в неделю при очной форме обучения определяется ГОС с учетом уровня ВПО и специфики направления подготовки в пределах 35% от общего объема, выделенного на изучение каждой учебной дисциплины.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 часы, отводимые на самостоятельную рабо</w:t>
      </w:r>
      <w:r>
        <w:rPr>
          <w:color w:val="000000"/>
        </w:rPr>
        <w:t>ту по учебной дисциплине, включается время, предусмотренное на подготовку к экзамену по данной учебной дисциплине (модулю).</w:t>
      </w:r>
    </w:p>
    <w:p w:rsidR="00965E16" w:rsidRDefault="006A6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>При очно-заочной (вечерней) форме обучения объем аудиторных занятий должен быть не менее 16 часов в неделю.</w:t>
      </w:r>
    </w:p>
    <w:p w:rsidR="00965E16" w:rsidRDefault="006A6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>При заочной форме обучения студенту должна быть обеспечена возможность занятий с преподавателем в объеме не менее 160 часов в год.</w:t>
      </w:r>
    </w:p>
    <w:p w:rsidR="00965E16" w:rsidRDefault="006A6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>Общий объем каникулярного времени в учебном году должен составлять 7-10 недель, в том числе не менее двух недель в зимний пер</w:t>
      </w:r>
      <w:r>
        <w:rPr>
          <w:color w:val="000000"/>
        </w:rPr>
        <w:t>иод.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40" w:lineRule="auto"/>
        <w:ind w:left="0" w:hanging="2"/>
        <w:jc w:val="both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 </w:t>
      </w:r>
      <w:r>
        <w:rPr>
          <w:b/>
          <w:color w:val="000000"/>
        </w:rPr>
        <w:t xml:space="preserve">Требования </w:t>
      </w:r>
      <w:r>
        <w:rPr>
          <w:color w:val="000000"/>
        </w:rPr>
        <w:t xml:space="preserve">к </w:t>
      </w:r>
      <w:r>
        <w:rPr>
          <w:b/>
          <w:color w:val="000000"/>
        </w:rPr>
        <w:t>ООП подготовки бакалавров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0"/>
          <w:szCs w:val="1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5.1. Требования к результатам освоения ООП подготовки бакалавра.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6451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Выпускник по направлению подготовки </w:t>
      </w:r>
      <w:r>
        <w:rPr>
          <w:b/>
          <w:color w:val="000000"/>
        </w:rPr>
        <w:t>640200 – «Электроэнергетика и электротехника»</w:t>
      </w:r>
      <w:r>
        <w:rPr>
          <w:color w:val="000000"/>
        </w:rPr>
        <w:t xml:space="preserve"> с присвоением академической степени «бакалавр» в соответствии с целями ООП и задачами профессиональной деятельности, указанными в  пп. 3.4. и 3.8. настоящего ГОС ВПО, должен обладать следующими компетенциями: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  <w:i/>
          <w:color w:val="000000"/>
        </w:rPr>
      </w:pPr>
      <w:r>
        <w:rPr>
          <w:b/>
          <w:i/>
          <w:color w:val="000000"/>
        </w:rPr>
        <w:t>а) универсальными компетенциями: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-</w:t>
      </w:r>
      <w:r>
        <w:rPr>
          <w:b/>
          <w:color w:val="000000"/>
        </w:rPr>
        <w:tab/>
      </w:r>
      <w:r>
        <w:rPr>
          <w:b/>
          <w:color w:val="000000"/>
        </w:rPr>
        <w:t>общенаучными (ОК):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ОК-1.</w:t>
      </w:r>
      <w:r>
        <w:rPr>
          <w:color w:val="000000"/>
        </w:rPr>
        <w:t xml:space="preserve"> Способностью критически   оценивать и использовать научные знания об окружающем мире, ориентироваться в ценностях жизни, культуры и занимать активную гражданскую позицию, проявлять уважение к людям и толерантность;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before="38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-</w:t>
      </w:r>
      <w:r>
        <w:rPr>
          <w:b/>
          <w:color w:val="000000"/>
        </w:rPr>
        <w:tab/>
        <w:t>инструментальн</w:t>
      </w:r>
      <w:r>
        <w:rPr>
          <w:b/>
          <w:color w:val="000000"/>
        </w:rPr>
        <w:t>ыми (ИК):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ИК-1.</w:t>
      </w:r>
      <w:r>
        <w:rPr>
          <w:color w:val="000000"/>
        </w:rPr>
        <w:t xml:space="preserve"> Способностью вести деловое общение на государственном, официальном и на одном из иностранных языков в области работы и обучения;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ИК-2.</w:t>
      </w:r>
      <w:r>
        <w:rPr>
          <w:color w:val="000000"/>
        </w:rPr>
        <w:t xml:space="preserve"> Способностью приобретать и применять новые знания с использованием информационных технологий для решения сложных проблем в области работы и обучения;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ИК-3.</w:t>
      </w:r>
      <w:r>
        <w:rPr>
          <w:color w:val="000000"/>
        </w:rPr>
        <w:t xml:space="preserve"> Способностью использовать предпринимательские знания и навыки в профессиональной деятельности.</w:t>
      </w:r>
    </w:p>
    <w:p w:rsidR="00965E16" w:rsidRDefault="006A6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spacing w:before="29" w:line="240" w:lineRule="auto"/>
        <w:ind w:hanging="2"/>
        <w:jc w:val="both"/>
        <w:rPr>
          <w:b/>
          <w:color w:val="000000"/>
        </w:rPr>
      </w:pPr>
      <w:r>
        <w:rPr>
          <w:b/>
          <w:color w:val="000000"/>
        </w:rPr>
        <w:t>социально-личностными и общекультурными (СЛК):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СЛК-1.</w:t>
      </w:r>
      <w:r>
        <w:rPr>
          <w:color w:val="000000"/>
        </w:rPr>
        <w:t xml:space="preserve"> Способностью обеспечить достижение целей в профессиональной деятельности отдельных лиц или групп;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120" w:after="120" w:line="240" w:lineRule="auto"/>
        <w:ind w:left="0" w:hanging="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б) профессиональными (ПК):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для проектно-конструкторской деятельности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line="240" w:lineRule="auto"/>
        <w:ind w:left="0" w:hanging="2"/>
        <w:jc w:val="both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ПК-1.</w:t>
      </w:r>
      <w:r>
        <w:rPr>
          <w:color w:val="000000"/>
        </w:rPr>
        <w:t xml:space="preserve"> Способностью принимать</w:t>
      </w:r>
      <w:r>
        <w:rPr>
          <w:color w:val="000000"/>
        </w:rPr>
        <w:tab/>
      </w:r>
      <w:r>
        <w:rPr>
          <w:color w:val="000000"/>
        </w:rPr>
        <w:t>участие в проектировании</w:t>
      </w:r>
      <w:r>
        <w:rPr>
          <w:color w:val="000000"/>
        </w:rPr>
        <w:tab/>
        <w:t xml:space="preserve">объектов профессиональной деятельности и </w:t>
      </w:r>
      <w:r>
        <w:rPr>
          <w:rFonts w:ascii="Times" w:eastAsia="Times" w:hAnsi="Times" w:cs="Times"/>
          <w:color w:val="000000"/>
        </w:rPr>
        <w:t>пр</w:t>
      </w:r>
      <w:r>
        <w:rPr>
          <w:color w:val="000000"/>
        </w:rPr>
        <w:t>оводить</w:t>
      </w:r>
      <w:r>
        <w:rPr>
          <w:rFonts w:ascii="Times" w:eastAsia="Times" w:hAnsi="Times" w:cs="Times"/>
          <w:color w:val="000000"/>
        </w:rPr>
        <w:t xml:space="preserve"> технико-</w:t>
      </w:r>
      <w:r>
        <w:rPr>
          <w:color w:val="000000"/>
        </w:rPr>
        <w:t>экономическое обоснование</w:t>
      </w:r>
      <w:r>
        <w:rPr>
          <w:rFonts w:ascii="Times" w:eastAsia="Times" w:hAnsi="Times" w:cs="Times"/>
          <w:color w:val="000000"/>
        </w:rPr>
        <w:t xml:space="preserve"> проектных решений</w:t>
      </w:r>
      <w:r>
        <w:rPr>
          <w:color w:val="000000"/>
        </w:rPr>
        <w:t xml:space="preserve"> в соответствии с техническим заданием и нормативно-технической документацией, соблюдая различные технические, энергоэффективные </w:t>
      </w:r>
      <w:r>
        <w:rPr>
          <w:color w:val="000000"/>
        </w:rPr>
        <w:t>и экологические требования;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536"/>
          <w:tab w:val="left" w:pos="6096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ПК-2.</w:t>
      </w:r>
      <w:r>
        <w:rPr>
          <w:color w:val="000000"/>
        </w:rPr>
        <w:t xml:space="preserve">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 с применением информационных технологий;</w:t>
      </w:r>
    </w:p>
    <w:p w:rsidR="00965E16" w:rsidRDefault="006A62B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60"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для производственно-технолог</w:t>
      </w:r>
      <w:r>
        <w:rPr>
          <w:b/>
          <w:i/>
          <w:color w:val="000000"/>
        </w:rPr>
        <w:t xml:space="preserve">ической деятельности 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ПК-3.</w:t>
      </w:r>
      <w:r>
        <w:rPr>
          <w:color w:val="000000"/>
        </w:rPr>
        <w:t xml:space="preserve"> Способностью использовать свойства конструкционных и электротехнических материалов в расчетах параметров и режимов объектов профессиональной деятельности;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536"/>
          <w:tab w:val="left" w:pos="6096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ПК-4.</w:t>
      </w:r>
      <w:r>
        <w:rPr>
          <w:color w:val="000000"/>
        </w:rPr>
        <w:t xml:space="preserve"> Готовностью определять параметры</w:t>
      </w:r>
      <w:r>
        <w:rPr>
          <w:color w:val="000000"/>
        </w:rPr>
        <w:tab/>
        <w:t xml:space="preserve"> оборудования,</w:t>
      </w:r>
      <w:r>
        <w:rPr>
          <w:color w:val="000000"/>
        </w:rPr>
        <w:tab/>
        <w:t>режимы работы объек</w:t>
      </w:r>
      <w:r>
        <w:rPr>
          <w:color w:val="000000"/>
        </w:rPr>
        <w:t>тов профессиональной деятельности, использовать технические средства для измерения и контроля основных параметров технологического процесса;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ПК-5.</w:t>
      </w:r>
      <w:r>
        <w:rPr>
          <w:color w:val="000000"/>
        </w:rPr>
        <w:t xml:space="preserve"> Способностью использовать знания теплотехники и гидравлики для решения профессиональных задач тепло- и гидроэ</w:t>
      </w:r>
      <w:r>
        <w:rPr>
          <w:color w:val="000000"/>
        </w:rPr>
        <w:t>нергетических установок, нетрадиционных источников энергии;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ПК-6.</w:t>
      </w:r>
      <w:r>
        <w:rPr>
          <w:color w:val="000000"/>
        </w:rPr>
        <w:t xml:space="preserve"> Способен использовать существующие документы по качеству, стандартизации и сертификации электроэнергетических и электротехнических объектов;</w:t>
      </w:r>
      <w:r>
        <w:rPr>
          <w:b/>
          <w:color w:val="000000"/>
        </w:rPr>
        <w:t xml:space="preserve">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ПК-7.</w:t>
      </w:r>
      <w:r>
        <w:rPr>
          <w:color w:val="000000"/>
        </w:rPr>
        <w:t xml:space="preserve"> Способностью использовать правила техники безопасности, производственной санитарии, пожарной безопасности и нормы охраны труда;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ПК-8.</w:t>
      </w:r>
      <w:r>
        <w:rPr>
          <w:color w:val="000000"/>
        </w:rPr>
        <w:t xml:space="preserve"> Знать принцип действия и алгоритм функционирования релейной защиты и противоаварийной автоматики и уметь рассчитывать их </w:t>
      </w:r>
      <w:r>
        <w:rPr>
          <w:color w:val="000000"/>
        </w:rPr>
        <w:t>параметры;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ПК-9.</w:t>
      </w:r>
      <w:r>
        <w:rPr>
          <w:color w:val="000000"/>
        </w:rPr>
        <w:t xml:space="preserve"> Способностью рассчитывать производство, передачу и распределение электрической и тепловой энергии среди потребителей;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ПК-10.</w:t>
      </w:r>
      <w:r>
        <w:rPr>
          <w:color w:val="000000"/>
        </w:rPr>
        <w:t xml:space="preserve"> Уметь применять программное и информационное обеспечение и САПР для решения    задач профессиональной деятельности</w:t>
      </w:r>
      <w:r>
        <w:rPr>
          <w:b/>
          <w:color w:val="000000"/>
        </w:rPr>
        <w:t>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ПК-11.</w:t>
      </w:r>
      <w:r>
        <w:rPr>
          <w:color w:val="000000"/>
        </w:rPr>
        <w:t xml:space="preserve"> Знать назначение, принцип работы и условия выбора систем управления электроприводами механизмов;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ПК-12.</w:t>
      </w:r>
      <w:r>
        <w:rPr>
          <w:color w:val="000000"/>
        </w:rPr>
        <w:t xml:space="preserve"> Знать основные критерии оценки надежности и уметь рассчитывать надежность электроэнергетических систем;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ПК-13.</w:t>
      </w:r>
      <w:r>
        <w:rPr>
          <w:color w:val="000000"/>
        </w:rPr>
        <w:t xml:space="preserve"> Знать назначение, принцип работы</w:t>
      </w:r>
      <w:r>
        <w:rPr>
          <w:color w:val="000000"/>
        </w:rPr>
        <w:t xml:space="preserve"> и условия выбора электрических оборудования  и  аппаратов;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ПК-14.</w:t>
      </w:r>
      <w:r>
        <w:rPr>
          <w:color w:val="000000"/>
        </w:rPr>
        <w:t xml:space="preserve"> Обладать способностью рассчитывать системы электроснабжения, электрическое освещение и нагрузку потребителей электроэнергии;</w:t>
      </w:r>
    </w:p>
    <w:p w:rsidR="00965E16" w:rsidRDefault="006A62B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60"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для организационно-управленческой деятельности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ПК-15.</w:t>
      </w:r>
      <w:r>
        <w:rPr>
          <w:color w:val="000000"/>
        </w:rPr>
        <w:t xml:space="preserve"> Способностью координировать деятельность членов коллектива исполнителей, решать конкретные задачи в области организации и нормирования труда, и оценивать основные производственные фонды;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ПК-16.</w:t>
      </w:r>
      <w:r>
        <w:rPr>
          <w:color w:val="000000"/>
        </w:rPr>
        <w:t xml:space="preserve"> Способностью осуществлять экономический анализ предприятия с </w:t>
      </w:r>
      <w:r>
        <w:rPr>
          <w:color w:val="000000"/>
        </w:rPr>
        <w:t>целью рациональной организации производственной деятельности, маркетинг и менеджмент;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для научно-исследовательской деятельности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ПК-17.</w:t>
      </w:r>
      <w:r>
        <w:rPr>
          <w:color w:val="000000"/>
        </w:rPr>
        <w:t xml:space="preserve"> Способностью участвовать в планировании, подготовке и выполнении научных и экспериментальных исследований по заданной мет</w:t>
      </w:r>
      <w:r>
        <w:rPr>
          <w:color w:val="000000"/>
        </w:rPr>
        <w:t>одике и обрабатывать их результаты;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для монтажно-наладочной деятельности</w:t>
      </w:r>
      <w:r>
        <w:rPr>
          <w:color w:val="000000"/>
        </w:rPr>
        <w:t>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ПК-18.</w:t>
      </w:r>
      <w:r>
        <w:rPr>
          <w:color w:val="000000"/>
        </w:rPr>
        <w:t xml:space="preserve"> Готов осуществлять монтаж, регулировку, испытание, пуско-наладочные работы и сдачу в эксплуатацию гидроэнергетического, электроэнергетического и электротехнического оборудован</w:t>
      </w:r>
      <w:r>
        <w:rPr>
          <w:color w:val="000000"/>
        </w:rPr>
        <w:t>ия;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для сервисно-эксплуатационной деятельности</w:t>
      </w:r>
      <w:r>
        <w:rPr>
          <w:color w:val="000000"/>
        </w:rPr>
        <w:t>: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ПК-19.</w:t>
      </w:r>
      <w:r>
        <w:rPr>
          <w:color w:val="000000"/>
        </w:rPr>
        <w:t xml:space="preserve"> Способностью применять методы и технические средства эксплуатационных испытаний и диагностики гидроэнергетического, электроэнергетического и электротехнического оборудования;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ПК-20.</w:t>
      </w:r>
      <w:r>
        <w:rPr>
          <w:color w:val="000000"/>
        </w:rPr>
        <w:t xml:space="preserve"> Способностью оценивать техническое состояние и остаточный ресурс оборудования, участвовать в выполнении ремонтов оборудования</w:t>
      </w:r>
      <w:r>
        <w:rPr>
          <w:b/>
          <w:color w:val="000000"/>
        </w:rPr>
        <w:t>.</w:t>
      </w:r>
    </w:p>
    <w:p w:rsidR="00965E16" w:rsidRDefault="006A62B2">
      <w:pPr>
        <w:widowControl w:val="0"/>
        <w:shd w:val="clear" w:color="auto" w:fill="FFFFFF"/>
        <w:ind w:left="0" w:hanging="2"/>
        <w:jc w:val="both"/>
      </w:pPr>
      <w:r>
        <w:t>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самостоятельно. Перечень профилей утверждается УМО.</w:t>
      </w:r>
    </w:p>
    <w:p w:rsidR="00965E16" w:rsidRDefault="006A62B2">
      <w:pPr>
        <w:widowControl w:val="0"/>
        <w:shd w:val="clear" w:color="auto" w:fill="FFFFFF"/>
        <w:ind w:left="0" w:hanging="2"/>
        <w:jc w:val="both"/>
      </w:pPr>
      <w:r>
        <w:t>Перечни дополнительных компетенций определяются на основании нац</w:t>
      </w:r>
      <w:r>
        <w:t>иональной рамки квалификаций, отраслевых/секторальных рамок квалификаций и профессиональных стандартов (при наличии).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b/>
          <w:color w:val="000000"/>
        </w:rPr>
      </w:pPr>
      <w:r>
        <w:rPr>
          <w:b/>
          <w:color w:val="000000"/>
        </w:rPr>
        <w:t>5.2 Требования к структуре ООП подготовки бакалавров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jc w:val="center"/>
        <w:rPr>
          <w:color w:val="000000"/>
        </w:rPr>
      </w:pPr>
      <w:r>
        <w:rPr>
          <w:color w:val="000000"/>
        </w:rPr>
        <w:t>Структура ООП подготовки бакалавров включает следующие блоки: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color w:val="000000"/>
        </w:rPr>
      </w:pPr>
      <w:r>
        <w:rPr>
          <w:color w:val="000000"/>
        </w:rPr>
        <w:t xml:space="preserve">              </w:t>
      </w:r>
      <w:r>
        <w:t>Б</w:t>
      </w:r>
      <w:r>
        <w:rPr>
          <w:color w:val="000000"/>
        </w:rPr>
        <w:t xml:space="preserve">лок l «Дисциплины (модули)»;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color w:val="000000"/>
        </w:rPr>
      </w:pPr>
      <w:r>
        <w:rPr>
          <w:color w:val="000000"/>
        </w:rPr>
        <w:t xml:space="preserve">              </w:t>
      </w:r>
      <w:r>
        <w:t>Б</w:t>
      </w:r>
      <w:r>
        <w:rPr>
          <w:color w:val="000000"/>
        </w:rPr>
        <w:t xml:space="preserve">лок 2 «Практика»;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color w:val="000000"/>
        </w:rPr>
      </w:pPr>
      <w:r>
        <w:rPr>
          <w:color w:val="000000"/>
        </w:rPr>
        <w:t xml:space="preserve">              </w:t>
      </w:r>
      <w:r>
        <w:t>Б</w:t>
      </w:r>
      <w:r>
        <w:rPr>
          <w:color w:val="000000"/>
        </w:rPr>
        <w:t>лок 3 «Государственная итоговая аттестация».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color w:val="000000"/>
        </w:rPr>
      </w:pPr>
    </w:p>
    <w:tbl>
      <w:tblPr>
        <w:tblStyle w:val="af4"/>
        <w:tblW w:w="94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6197"/>
        <w:gridCol w:w="2198"/>
      </w:tblGrid>
      <w:tr w:rsidR="00965E16">
        <w:tc>
          <w:tcPr>
            <w:tcW w:w="7294" w:type="dxa"/>
            <w:gridSpan w:val="2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Структура ООП подготовки бакалавров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ООП подготовки бакалавров и ее блоков в кредитах</w:t>
            </w:r>
          </w:p>
        </w:tc>
      </w:tr>
      <w:tr w:rsidR="00965E16">
        <w:tc>
          <w:tcPr>
            <w:tcW w:w="1097" w:type="dxa"/>
            <w:vMerge w:val="restart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Блок 1</w:t>
            </w:r>
          </w:p>
        </w:tc>
        <w:tc>
          <w:tcPr>
            <w:tcW w:w="61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I. Гуманитарный, социальный и экономический цикл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20-30</w:t>
            </w:r>
          </w:p>
        </w:tc>
      </w:tr>
      <w:tr w:rsidR="00965E16">
        <w:tc>
          <w:tcPr>
            <w:tcW w:w="1097" w:type="dxa"/>
            <w:vMerge/>
            <w:vAlign w:val="center"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II. Математический и естественнонаучный цикл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30-40</w:t>
            </w:r>
          </w:p>
        </w:tc>
      </w:tr>
      <w:tr w:rsidR="00965E16">
        <w:tc>
          <w:tcPr>
            <w:tcW w:w="1097" w:type="dxa"/>
            <w:vMerge/>
            <w:vAlign w:val="center"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III.Профессиональный цикл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115-145</w:t>
            </w:r>
          </w:p>
        </w:tc>
      </w:tr>
      <w:tr w:rsidR="00965E16">
        <w:tc>
          <w:tcPr>
            <w:tcW w:w="1097" w:type="dxa"/>
            <w:vMerge/>
            <w:vAlign w:val="center"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61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165-215</w:t>
            </w:r>
          </w:p>
        </w:tc>
      </w:tr>
      <w:tr w:rsidR="00965E16">
        <w:tc>
          <w:tcPr>
            <w:tcW w:w="10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Блок 2</w:t>
            </w:r>
          </w:p>
        </w:tc>
        <w:tc>
          <w:tcPr>
            <w:tcW w:w="61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15</w:t>
            </w:r>
            <w:r>
              <w:rPr>
                <w:color w:val="000000"/>
              </w:rPr>
              <w:t>-</w:t>
            </w:r>
            <w:r>
              <w:t>60</w:t>
            </w:r>
          </w:p>
        </w:tc>
      </w:tr>
      <w:tr w:rsidR="00965E16">
        <w:tc>
          <w:tcPr>
            <w:tcW w:w="10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Блок 3</w:t>
            </w:r>
          </w:p>
        </w:tc>
        <w:tc>
          <w:tcPr>
            <w:tcW w:w="619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итоговая аттестация 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10-15</w:t>
            </w:r>
          </w:p>
        </w:tc>
      </w:tr>
      <w:tr w:rsidR="00965E16">
        <w:tc>
          <w:tcPr>
            <w:tcW w:w="7294" w:type="dxa"/>
            <w:gridSpan w:val="2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Объем ООП ВПО по подготовке бакалавров</w:t>
            </w:r>
          </w:p>
        </w:tc>
        <w:tc>
          <w:tcPr>
            <w:tcW w:w="2198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240</w:t>
            </w: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9" w:hanging="2"/>
        <w:rPr>
          <w:b/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063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Вуз разрабатывает ООП подготовки бакалавра в соответствии с требованиями государственного образовательного стандарта и несет ответственность за достижение результатов обучения в соответствии с национальной рамкой квалификаций,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Набор дисциплин (модулей) и </w:t>
      </w:r>
      <w:r>
        <w:rPr>
          <w:color w:val="000000"/>
        </w:rPr>
        <w:t>их трудоемкость, которые относятся к каждому блоку ООП подготовки бакалавра вуз определяет самостоятельно в установленном для блока объеме, с учетом требований к результатам ее освоения в виде совокупности результатов обучения, предусмотренных национальной</w:t>
      </w:r>
      <w:r>
        <w:rPr>
          <w:color w:val="000000"/>
        </w:rPr>
        <w:t xml:space="preserve"> рамкой квалификаций.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5.2.1. ООП подготовки бакалавров должна обеспечить реализацию: 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- обязательных дисциплин гуманитарного, социального и экономического цикла, перечень и трудоемкость которых определяются уполномоченным государственным органом в области </w:t>
      </w:r>
      <w:r>
        <w:rPr>
          <w:color w:val="000000"/>
        </w:rPr>
        <w:t>образования и науки Кыргызской Республики. Содержание и порядок реализации указанных дисциплин устанавливаются государственным образовательным стандартом ВПО по соответствующему направлению подготовки бакалавра;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>- дисциплин по физической культуре и спорту,</w:t>
      </w:r>
      <w:r>
        <w:rPr>
          <w:color w:val="000000"/>
        </w:rPr>
        <w:t xml:space="preserve"> в объеме не менее 360 часов, которые являются обязательными для освоения, но не переводятся в кредиты и не включаются в объем ООП подготовки бакалавров.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>5.2,2. Блок 2 «Практика» включает учебную практику (ознакомительная, технологическая, научно-исследова</w:t>
      </w:r>
      <w:r>
        <w:rPr>
          <w:color w:val="000000"/>
        </w:rPr>
        <w:t>тельская работа) и производственную (проектная, эксплуатационная, педагогическая научно-исследовательская работа) практику.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Вуз вправе выбрать один или несколько типов практики, также может установить дополнительный тип практики в пределах установленных кредитов. 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>5.2.3. Блок 3 «Государственная аттестация» включает подготовку к сдаче и сдачу государственных экзаменов, выполнени</w:t>
      </w:r>
      <w:r>
        <w:rPr>
          <w:color w:val="000000"/>
        </w:rPr>
        <w:t>е и защиту выпускной квалификационной работы (если вуз включил выпускную квалификационную работу в состав итоговой государственной аттестации).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5.2.4. В рамках ООП подготовки бакалавров выделяется обязательная и элективная часть. 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К обязательной части ООП </w:t>
      </w:r>
      <w:r>
        <w:rPr>
          <w:color w:val="000000"/>
        </w:rPr>
        <w:t>подготовки бакалавра относятся дисциплины и практики, обеспечивающие формирование общенаучных, универсальных, социально-личностных, общекультурных и профессиональных компетенций, с учетом уровней национальной  рамки квалификаций.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Объем обязательной части, </w:t>
      </w:r>
      <w:r>
        <w:rPr>
          <w:color w:val="000000"/>
        </w:rPr>
        <w:t>без учета объема государственной аттестации, должен составлять не более 50 процентов общего объема ООП  подготовки бакалавров.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>В элективной части ООП подготовки бакалавров студенты могут выбрать дисциплины по соответствующему направлению, также допускается</w:t>
      </w:r>
      <w:r>
        <w:rPr>
          <w:color w:val="000000"/>
        </w:rPr>
        <w:t xml:space="preserve"> выбор дисциплин из ООП подготовки бакалавров других направлений.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-2" w:hanging="2"/>
        <w:jc w:val="both"/>
        <w:rPr>
          <w:color w:val="000000"/>
        </w:rPr>
      </w:pPr>
      <w:r>
        <w:rPr>
          <w:color w:val="000000"/>
        </w:rPr>
        <w:t xml:space="preserve">5.2.5. Вуз должен предоставлять лицам с ограниченными возможностями здоровья (по их заявлению) возможность обучения по ООП подготовки бакалавров, учитывающей особенности их психофизического </w:t>
      </w:r>
      <w:r>
        <w:rPr>
          <w:color w:val="000000"/>
        </w:rPr>
        <w:t>развития, индивидуальных возможностей и, при необходимости, обеспечивающей коррекцию нарушений развития и социальную адаптацию указанных лиц, кроме ООП предусматривающих противопоказания к обучению по состоянию здоровья.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0"/>
          <w:szCs w:val="1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0"/>
          <w:szCs w:val="1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0"/>
          <w:szCs w:val="1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5.3. Требования к условиям реализации ООП</w:t>
      </w:r>
      <w:r>
        <w:rPr>
          <w:color w:val="000000"/>
        </w:rPr>
        <w:t xml:space="preserve"> </w:t>
      </w:r>
      <w:r>
        <w:rPr>
          <w:b/>
          <w:color w:val="000000"/>
        </w:rPr>
        <w:t>подготовки бакалавров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  <w:sz w:val="10"/>
          <w:szCs w:val="1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spacing w:line="276" w:lineRule="auto"/>
        <w:ind w:left="0" w:hanging="2"/>
        <w:rPr>
          <w:b/>
          <w:color w:val="000000"/>
        </w:rPr>
      </w:pPr>
      <w:r>
        <w:rPr>
          <w:b/>
          <w:color w:val="000000"/>
        </w:rPr>
        <w:t>5.3.1.</w:t>
      </w:r>
      <w:r>
        <w:rPr>
          <w:color w:val="000000"/>
        </w:rPr>
        <w:tab/>
      </w:r>
      <w:r>
        <w:rPr>
          <w:b/>
          <w:color w:val="000000"/>
        </w:rPr>
        <w:t>Кадровое обеспечение учебного процесса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Реализация ООП подготовки бакалавров, должна обеспечиваться педагогическими кадрами, имеющими,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Преподав</w:t>
      </w:r>
      <w:r>
        <w:rPr>
          <w:color w:val="000000"/>
        </w:rPr>
        <w:t>атели профессионального цикла, должны иметь ученую степень кандидата, доктора наук и (или) опыт деятельности в соответствующей профессиональной сфере.</w:t>
      </w:r>
    </w:p>
    <w:p w:rsidR="00965E16" w:rsidRDefault="006A6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Доля дисциплин, лекции по которым читаются преподавателями, имеющими ученые степени  кандидата или доктор</w:t>
      </w:r>
      <w:r>
        <w:rPr>
          <w:color w:val="000000"/>
        </w:rPr>
        <w:t>а наук, должна составлять 40 процентов общего количества дисциплин.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28" w:hanging="2"/>
        <w:jc w:val="both"/>
        <w:rPr>
          <w:color w:val="000000"/>
        </w:rPr>
      </w:pPr>
      <w:r>
        <w:rPr>
          <w:color w:val="000000"/>
        </w:rPr>
        <w:t>До 10 процентов от общего числа преподавателей, имеющих ученую степень и/или ученое звание, может быть заменено преподавателями, имеющими стаж практической работы по данному направлению (профилю) на должностях руководителей или ведущих специалистов более 1</w:t>
      </w:r>
      <w:r>
        <w:rPr>
          <w:color w:val="000000"/>
        </w:rPr>
        <w:t>0 последних лет.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</w:tabs>
        <w:spacing w:line="276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5.3.2.</w:t>
      </w:r>
      <w:r>
        <w:rPr>
          <w:color w:val="000000"/>
        </w:rPr>
        <w:tab/>
      </w:r>
      <w:r>
        <w:rPr>
          <w:b/>
          <w:color w:val="000000"/>
        </w:rPr>
        <w:t>Учебно-методическое и информационное обеспечение учебного процесса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</w:rPr>
      </w:pPr>
      <w:r>
        <w:rPr>
          <w:color w:val="000000"/>
        </w:rPr>
        <w:t>Реализация ООП подготовки бакалавров должна обеспечиваться доступом каждого студента к базам данных и библиотечным фондам, формируемым по полному перечню дисциплин о</w:t>
      </w:r>
      <w:r>
        <w:rPr>
          <w:color w:val="000000"/>
        </w:rPr>
        <w:t>сновной образовательной программы. Образовательная программа вуза должна включать лабораторные практикумы и практические занятия (определяются с учетом формируемых компетенций).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Должен быть обеспечен доступ к комплектам библиотечного фонда, состоящего не менее чем из шести наименований отечественных и зарубежных журналов из следующего перечня: «Наука и новые технологии», «Известия КГТУ», «Электротехника», «Известия вузов. Электром</w:t>
      </w:r>
      <w:r>
        <w:rPr>
          <w:color w:val="000000"/>
        </w:rPr>
        <w:t>еханика», «Электричество», «Электрические станции», «Промышленная энергетика», «Гидротехническое строительство», «Стандарты и качество», «Надежность и контроль качества», «Энергетика и электротехника (реферативный журнал)», «IEEE Transaction on Power Syste</w:t>
      </w:r>
      <w:r>
        <w:rPr>
          <w:color w:val="000000"/>
        </w:rPr>
        <w:t>ms», «Transmission and Distribution», «Electra» CIGRE», «IEEE Transaction on Industry», «IEEE Transaction on Power Electronics», «IEEE Power Engineering», «Electrical Times», «Electrical Review», «Electrische Energie Technik».; «Revue Generale d’Electricit</w:t>
      </w:r>
      <w:r>
        <w:rPr>
          <w:color w:val="000000"/>
        </w:rPr>
        <w:t>e».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spacing w:line="276" w:lineRule="auto"/>
        <w:ind w:left="0" w:hanging="2"/>
        <w:rPr>
          <w:b/>
          <w:color w:val="000000"/>
        </w:rPr>
      </w:pPr>
      <w:r>
        <w:rPr>
          <w:b/>
          <w:color w:val="000000"/>
        </w:rPr>
        <w:t>5.3.3.</w:t>
      </w:r>
      <w:r>
        <w:rPr>
          <w:color w:val="000000"/>
        </w:rPr>
        <w:tab/>
      </w:r>
      <w:r>
        <w:rPr>
          <w:b/>
          <w:color w:val="000000"/>
        </w:rPr>
        <w:t>Материально-техническое обеспечение учебного процесса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Вуз, реализующий ООП подготовки бакалавров, должен располагать материально-технической базой, соответствующей действующим санитарным и противопожарным правилам и нормам, обеспечивающей провед</w:t>
      </w:r>
      <w:r>
        <w:rPr>
          <w:color w:val="000000"/>
        </w:rPr>
        <w:t>ение всех видов учебных занятий, предусмотренных программой бакалавриата. Помещения должны представлять собой  учебные аудитории для проведения всех видов учебных занятий, оснащенные оборудованием и техническими средствами обучения, состав которых определя</w:t>
      </w:r>
      <w:r>
        <w:rPr>
          <w:color w:val="000000"/>
        </w:rPr>
        <w:t xml:space="preserve">ется в учебно-методических комплексах соответствующих дисциплин,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Аудитории для самостоятельной работы обучающися должны быть оснащены компьтерной техникой с возможностью подключения к сети Интернет.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Вуз должен быть обеспечен необходимым комплектом лицензи</w:t>
      </w:r>
      <w:r>
        <w:rPr>
          <w:color w:val="000000"/>
        </w:rPr>
        <w:t>онного программного обеспечения.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Ниже приведен перечень дисциплин, входящих в базовый учебный план с необходимым  оснащением аудиторий для проведения лабораторных работ.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Дисциплина «Химия»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Раздел «Неорганическая химия»</w:t>
      </w:r>
    </w:p>
    <w:tbl>
      <w:tblPr>
        <w:tblStyle w:val="af5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930"/>
      </w:tblGrid>
      <w:tr w:rsidR="00965E16">
        <w:trPr>
          <w:trHeight w:val="16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таблиц, оборудования, приборов, хим. посуды и перечень лабораторных работ</w:t>
            </w:r>
          </w:p>
        </w:tc>
      </w:tr>
      <w:tr w:rsidR="00965E16">
        <w:trPr>
          <w:trHeight w:val="120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Таблицы: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 Периодическая система Д.И. Менделеева.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vertAlign w:val="subscript"/>
              </w:rPr>
            </w:pPr>
            <w:sdt>
              <w:sdtPr>
                <w:tag w:val="goog_rdk_0"/>
                <w:id w:val="-15967742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2.Стандартные Энтальпии образования ∆H</w:t>
                </w:r>
              </w:sdtContent>
            </w:sdt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vertAlign w:val="subscript"/>
              </w:rPr>
              <w:t>298</w:t>
            </w:r>
            <w:r>
              <w:rPr>
                <w:color w:val="000000"/>
              </w:rPr>
              <w:t>, Энтропии S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vertAlign w:val="subscript"/>
              </w:rPr>
              <w:t>298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"/>
                <w:id w:val="2678152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Энергии образования Гиббса, ∆G</w:t>
                </w:r>
              </w:sdtContent>
            </w:sdt>
            <w:r>
              <w:rPr>
                <w:color w:val="000000"/>
                <w:vertAlign w:val="superscript"/>
              </w:rPr>
              <w:t xml:space="preserve">0 </w:t>
            </w:r>
            <w:r>
              <w:rPr>
                <w:color w:val="000000"/>
                <w:vertAlign w:val="subscript"/>
              </w:rPr>
              <w:t>298</w:t>
            </w:r>
            <w:r>
              <w:rPr>
                <w:color w:val="000000"/>
              </w:rPr>
              <w:t xml:space="preserve"> для некоторых веществ.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3.Растворимость кислот, оснований, солей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4.Относительная электроотрицательность атомов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5.Последовательность заполнения электронами энергетических подуровней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6.Давление водяных паров при разных температурах.</w:t>
            </w:r>
          </w:p>
        </w:tc>
      </w:tr>
      <w:tr w:rsidR="00965E16">
        <w:trPr>
          <w:trHeight w:val="150"/>
        </w:trPr>
        <w:tc>
          <w:tcPr>
            <w:tcW w:w="710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Оборудование и приборы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1.Вытяжные шкафы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2.Аппарат Киппа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3.технические весы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4.Барометр – анероид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5.Термометры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6.Сушильный шкаф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7.Электррические плитки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8.Спиртовые горелки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9. Электроды (цинковые и медные)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 Гальванометры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11. Выпрямители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Химическая посуда</w:t>
            </w:r>
          </w:p>
        </w:tc>
      </w:tr>
      <w:tr w:rsidR="00965E16">
        <w:trPr>
          <w:trHeight w:val="7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Колбы конические Эрленмейера </w:t>
            </w:r>
          </w:p>
        </w:tc>
      </w:tr>
      <w:tr w:rsidR="00965E16">
        <w:trPr>
          <w:trHeight w:val="120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Колбы мерные (100,200,250 мл)</w:t>
            </w:r>
          </w:p>
        </w:tc>
      </w:tr>
      <w:tr w:rsidR="00965E16">
        <w:trPr>
          <w:trHeight w:val="111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Химические стаканы (100,200 мл)</w:t>
            </w:r>
          </w:p>
        </w:tc>
      </w:tr>
      <w:tr w:rsidR="00965E16">
        <w:trPr>
          <w:trHeight w:val="96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 Ландольта</w:t>
            </w:r>
          </w:p>
        </w:tc>
      </w:tr>
      <w:tr w:rsidR="00965E16">
        <w:trPr>
          <w:trHeight w:val="16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Воронки</w:t>
            </w:r>
          </w:p>
        </w:tc>
      </w:tr>
      <w:tr w:rsidR="00965E16">
        <w:trPr>
          <w:trHeight w:val="13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Пробирки стеклянные</w:t>
            </w:r>
          </w:p>
        </w:tc>
      </w:tr>
      <w:tr w:rsidR="00965E16">
        <w:trPr>
          <w:trHeight w:val="16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Бюретки (25, 50 мл)</w:t>
            </w:r>
          </w:p>
        </w:tc>
      </w:tr>
      <w:tr w:rsidR="00965E16">
        <w:trPr>
          <w:trHeight w:val="13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Цилиндры мерные (10,100,250, 500 мл)</w:t>
            </w:r>
          </w:p>
        </w:tc>
      </w:tr>
      <w:tr w:rsidR="00965E16">
        <w:trPr>
          <w:trHeight w:val="150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Пипетки Мора (10,25,50 мл)</w:t>
            </w:r>
          </w:p>
        </w:tc>
      </w:tr>
      <w:tr w:rsidR="00965E16">
        <w:trPr>
          <w:trHeight w:val="180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Шпатели, микрошпатели</w:t>
            </w:r>
          </w:p>
        </w:tc>
      </w:tr>
      <w:tr w:rsidR="00965E16">
        <w:tc>
          <w:tcPr>
            <w:tcW w:w="710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Химические реактивы для проведения лабораторных пробирочных опытов.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работы.</w:t>
            </w:r>
          </w:p>
        </w:tc>
      </w:tr>
      <w:tr w:rsidR="00965E16"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молекулярной массы газообразных веществ </w:t>
            </w:r>
          </w:p>
        </w:tc>
      </w:tr>
      <w:tr w:rsidR="00965E16"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эквивалента простых веществ</w:t>
            </w:r>
          </w:p>
        </w:tc>
      </w:tr>
      <w:tr w:rsidR="00965E16">
        <w:trPr>
          <w:trHeight w:val="90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Периодическое изменение свойств химических элементов</w:t>
            </w:r>
          </w:p>
        </w:tc>
      </w:tr>
      <w:tr w:rsidR="00965E16">
        <w:trPr>
          <w:trHeight w:val="126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Электролиты. Электролитическая диссоциация. Ионные реакции</w:t>
            </w:r>
          </w:p>
        </w:tc>
      </w:tr>
      <w:tr w:rsidR="00965E16">
        <w:trPr>
          <w:trHeight w:val="111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Гальванические элементы</w:t>
            </w:r>
          </w:p>
        </w:tc>
      </w:tr>
      <w:tr w:rsidR="00965E16">
        <w:trPr>
          <w:trHeight w:val="150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Электролиз</w:t>
            </w:r>
          </w:p>
        </w:tc>
      </w:tr>
      <w:tr w:rsidR="00965E16">
        <w:trPr>
          <w:trHeight w:val="126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Элементы III А группы. Алюминий</w:t>
            </w:r>
          </w:p>
        </w:tc>
      </w:tr>
      <w:tr w:rsidR="00965E16">
        <w:trPr>
          <w:trHeight w:val="135"/>
        </w:trPr>
        <w:tc>
          <w:tcPr>
            <w:tcW w:w="71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30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жесткости воды </w:t>
            </w: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Дисциплина «Физика 1»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1" w:hanging="2"/>
        <w:rPr>
          <w:color w:val="000000"/>
        </w:rPr>
      </w:pPr>
      <w:r>
        <w:rPr>
          <w:b/>
          <w:color w:val="000000"/>
        </w:rPr>
        <w:t>Раздел  «Механика»</w:t>
      </w:r>
    </w:p>
    <w:tbl>
      <w:tblPr>
        <w:tblStyle w:val="af6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4394"/>
      </w:tblGrid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Необходимые приборы и принадлежности: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плотности тел правильной</w:t>
            </w:r>
          </w:p>
          <w:p w:rsidR="00965E16" w:rsidRDefault="006A62B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геометрической формы.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тела правильной геометрической  формы, (параллелепипед,  цилиндр, шар) весы и разновесы, штангенциркуль, микрометр.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коэффициента трения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качения методом наклонного маятника.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Наклонный маятник, образец и шар из одинакового материала.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ускорения земного поля тяготения с помощью маятников.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Книверсальный маятник FРМ-04, секундомер.</w:t>
            </w:r>
          </w:p>
        </w:tc>
      </w:tr>
      <w:tr w:rsidR="00965E16">
        <w:trPr>
          <w:trHeight w:val="583"/>
        </w:trPr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законов падения тел.</w:t>
            </w:r>
          </w:p>
        </w:tc>
        <w:tc>
          <w:tcPr>
            <w:tcW w:w="4394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Машина Атвуда, секундомер, грузики и перегрузки.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основного уравнения динамики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вращательного движения тела на приборе Обербека.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Крестообразный маятник Обербека, набор грузиков,  штангенциркуль.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момента инерции маятника Максвелла.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Маятник Максвелла  FPM-03, комплект заменных колец, штангенциркуль.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Изучения явления центрального удара шаров.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Измерительная установка и набор шаров.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Изучения законов сохранения момента импульса и сохранения энергии при неупругом соударении.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Крутильно –баллистический маятник, стреляющее устройство, универсальный миллисекундомер.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Определение скорости волны в вертикальной струне.</w:t>
            </w:r>
          </w:p>
        </w:tc>
        <w:tc>
          <w:tcPr>
            <w:tcW w:w="4394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Стойка с натянутой струной, динамометр, источник питания.  </w:t>
            </w: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Раздел «Молекулярная физика и термодинамика»</w:t>
      </w:r>
    </w:p>
    <w:tbl>
      <w:tblPr>
        <w:tblStyle w:val="af7"/>
        <w:tblW w:w="96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4235"/>
      </w:tblGrid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Необходимые приборы и принадлежности: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коэффициента внутреннего трения и средней длины свободного пробега молекул воздуха.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 xml:space="preserve">Аспиратор с водой, осушительный фильтр, водный манометр 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коэффициента вязкости жидкости по методу Стокса.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Стеклянный цилиндр наполненный глицерин</w:t>
            </w:r>
            <w:r>
              <w:rPr>
                <w:color w:val="000000"/>
              </w:rPr>
              <w:t>ом, свинцовые шарики, микрометр, секундомер и линейка.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коэффициента теплопроводности калориметрическим методом.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Два калориметрических сосуда, металический стержень, термометр и электроплитка.</w:t>
            </w:r>
          </w:p>
        </w:tc>
      </w:tr>
      <w:tr w:rsidR="00965E16">
        <w:trPr>
          <w:trHeight w:val="1133"/>
        </w:trPr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коэффициентов переноса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электронного газа в металлах по их удельным сопротивлениям.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Прибор для измерения удельного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 xml:space="preserve">сопротивления резистивного провода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FPM-01.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универсальной газовой постоянной.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стеклянная колба имеющая два отвода, водяной манометр, насос Комовского.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отношения </w:t>
            </w:r>
            <w:r>
              <w:rPr>
                <w:noProof/>
                <w:color w:val="000000"/>
              </w:rPr>
              <w:drawing>
                <wp:inline distT="0" distB="0" distL="114300" distR="114300">
                  <wp:extent cx="400050" cy="180975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114300" distR="114300">
                  <wp:extent cx="400050" cy="18097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методом Клемана-Дезорма.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Баллон с двумя трубками и кранами; жидкостный манометр; насос или резиновая груша.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67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удельной теплоты плавления твердых тел.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Электроплитка, фарфоровый тигель с оловом, термометр, штатив, технические весы.</w:t>
            </w:r>
          </w:p>
        </w:tc>
      </w:tr>
    </w:tbl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Раздел «Электричество и магнетизм»</w:t>
      </w:r>
    </w:p>
    <w:tbl>
      <w:tblPr>
        <w:tblStyle w:val="af8"/>
        <w:tblW w:w="96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59"/>
        <w:gridCol w:w="4253"/>
      </w:tblGrid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Необходимые приборы и принадлежности: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659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 xml:space="preserve">Модельное исследование электрического поля 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Плато с различным конфигурациями электрических зарядов, гальванометр, соединительные провода, металлические зонды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ЭДС гальванических элементов методом компенсации</w:t>
            </w:r>
          </w:p>
        </w:tc>
        <w:tc>
          <w:tcPr>
            <w:tcW w:w="425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Батарея с известным и неизвестным ЭДС, гальванометр, реохорда.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659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Градуировка термопары</w:t>
            </w:r>
          </w:p>
        </w:tc>
        <w:tc>
          <w:tcPr>
            <w:tcW w:w="425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Термопара, термометр, милливольтметр, два сосуда с водой, электрическая плита, пробирка с нафталином.</w:t>
            </w:r>
          </w:p>
        </w:tc>
      </w:tr>
      <w:tr w:rsidR="00965E16">
        <w:trPr>
          <w:trHeight w:val="1133"/>
        </w:trPr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59" w:type="dxa"/>
            <w:vAlign w:val="center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зависимости сопротивления металла от температуры.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</w:tc>
        <w:tc>
          <w:tcPr>
            <w:tcW w:w="425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Медная проволока, электрическая лампа, штатив, лабораторный трансформатор-регулируемый (ЛАТР), электроплитка, соединительные провода, амперметр, вольтметр, цифровой учебный омметр,  термометр.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659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разветвленных электрических цепей с применением пр</w:t>
            </w:r>
            <w:r>
              <w:rPr>
                <w:color w:val="000000"/>
              </w:rPr>
              <w:t>авил Кирхгофа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Изолированные соединительные провода, реостаты, вольтметр, амперметры-3 шт., источники постоянного тока-2шт.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4659" w:type="dxa"/>
            <w:vAlign w:val="center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электроемкости конденсатора.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Источник постоянного тока, клюя, конденсаторы: с известной емкостью С</w:t>
            </w:r>
            <w:r>
              <w:rPr>
                <w:color w:val="000000"/>
                <w:vertAlign w:val="subscript"/>
              </w:rPr>
              <w:t xml:space="preserve">1 </w:t>
            </w:r>
            <w:r>
              <w:rPr>
                <w:color w:val="000000"/>
              </w:rPr>
              <w:t>и неизвестной емкостью С</w:t>
            </w:r>
            <w:r>
              <w:rPr>
                <w:color w:val="000000"/>
                <w:vertAlign w:val="subscript"/>
              </w:rPr>
              <w:t xml:space="preserve">х </w:t>
            </w:r>
            <w:r>
              <w:rPr>
                <w:color w:val="000000"/>
              </w:rPr>
              <w:t>, вольтметр, соединительные провода</w:t>
            </w:r>
            <w:r>
              <w:rPr>
                <w:color w:val="000000"/>
                <w:vertAlign w:val="subscript"/>
              </w:rPr>
              <w:t xml:space="preserve"> 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явления диэлектрического гистерезиса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Кассета ФПЭ-02/07, осциллограф СI -73, источник питания ИП, вольтметр В7-27А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Градуирование ампериетра и вольтметра.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Амперметр, вольтметр, соединительные провода, ключ для замыкания электрической цепи, источник питания постоянного тока с ЭДС, магазин сопротивлений.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индуктивности катушки по методу Жубера.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Исследуемая катушка с вставным сердечником, ампермет</w:t>
            </w:r>
            <w:r>
              <w:rPr>
                <w:color w:val="000000"/>
              </w:rPr>
              <w:t>р постоянного и переменного тока, вольтметр постоянного и переменного тока, источник тока, соединительные провода.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распределения магнитного поля вдоль оси соленоида конечной длины.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Кассета ФПЭ – 04, источник питания, вольтметр универсальный В7 – 21.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удельного заряда электрона методом Магнетрона.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Кассета ФПЭ – 03, источник питания.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гистерезиса ферромагнитных материалов.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Звуковой генератор (ГЗШ – 63), осциллограф, (СI – 72), кассета ФПЭ – 07/02.</w:t>
            </w:r>
          </w:p>
        </w:tc>
      </w:tr>
      <w:tr w:rsidR="00965E16">
        <w:trPr>
          <w:trHeight w:val="1387"/>
        </w:trPr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явления взаимной индукции.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Источник электрического питания (звуковой генератор ГЗ - 102), кассета ФПЭ – 05 в которой расположены: две катушки на одной оси, шток со шкалой (Ш), показывающий взаимнон расположение катушек L</w:t>
            </w:r>
            <w:r>
              <w:rPr>
                <w:color w:val="000000"/>
                <w:vertAlign w:val="subscript"/>
              </w:rPr>
              <w:t xml:space="preserve">1 </w:t>
            </w:r>
            <w:r>
              <w:rPr>
                <w:color w:val="000000"/>
              </w:rPr>
              <w:t>и L</w:t>
            </w:r>
            <w:r>
              <w:rPr>
                <w:color w:val="000000"/>
                <w:vertAlign w:val="subscript"/>
              </w:rPr>
              <w:t xml:space="preserve">2, </w:t>
            </w:r>
            <w:r>
              <w:rPr>
                <w:color w:val="000000"/>
              </w:rPr>
              <w:t>электронный осциллограф.</w:t>
            </w:r>
          </w:p>
        </w:tc>
      </w:tr>
    </w:tbl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Дисциплина «Физика 2»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Раздел «Волновая оптика»</w:t>
      </w:r>
    </w:p>
    <w:tbl>
      <w:tblPr>
        <w:tblStyle w:val="af9"/>
        <w:tblW w:w="96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01"/>
        <w:gridCol w:w="4253"/>
      </w:tblGrid>
      <w:tr w:rsidR="00965E16">
        <w:tc>
          <w:tcPr>
            <w:tcW w:w="568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80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Необходимые приборы и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принадлежности:</w:t>
            </w:r>
          </w:p>
        </w:tc>
      </w:tr>
      <w:tr w:rsidR="00965E16">
        <w:tc>
          <w:tcPr>
            <w:tcW w:w="568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0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 xml:space="preserve"> Изучение интерференции света при отражении от стеклянной пластины.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Источник света – лазер ЛГ, рейтера, микроскопической объектив с круглым экраном, плоскопараллельная пластина.</w:t>
            </w:r>
          </w:p>
        </w:tc>
      </w:tr>
      <w:tr w:rsidR="00965E16">
        <w:tc>
          <w:tcPr>
            <w:tcW w:w="568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0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дифракции Фраунгофера на прямой щели.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Оптическая скамья, лазер, оптическая раздвижная щель, экран, фоторегистратор (фотодиод с электронным усилителем и микроамперметром).</w:t>
            </w:r>
          </w:p>
        </w:tc>
      </w:tr>
      <w:tr w:rsidR="00965E16">
        <w:tc>
          <w:tcPr>
            <w:tcW w:w="568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0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Проверка закона Малюса.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Оптическая скамья, осветительная лампа, поляроиды и фоторегистрирующее устройство.</w:t>
            </w:r>
          </w:p>
        </w:tc>
      </w:tr>
      <w:tr w:rsidR="00965E16">
        <w:trPr>
          <w:trHeight w:val="1133"/>
        </w:trPr>
        <w:tc>
          <w:tcPr>
            <w:tcW w:w="568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480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Проверка закона Брюстера и определение показателя преломления стекла.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 xml:space="preserve">Оптическая скамья с осветителем, поляроид, черное зеркало (диэлектрик)и фоторегистрирующее устройство. </w:t>
            </w:r>
          </w:p>
        </w:tc>
      </w:tr>
      <w:tr w:rsidR="00965E16">
        <w:tc>
          <w:tcPr>
            <w:tcW w:w="568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80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поляризованного света с помощью стопы пластин и проверка закона Малюса.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Оптическая скамья с осветителем, поляроид, стопа пластин и фоторегистрирующее устройство.</w:t>
            </w: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Раздел «Атомная и ядерная физика и физика твердого тела»</w:t>
      </w:r>
    </w:p>
    <w:tbl>
      <w:tblPr>
        <w:tblStyle w:val="afa"/>
        <w:tblW w:w="96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706"/>
        <w:gridCol w:w="4235"/>
      </w:tblGrid>
      <w:tr w:rsidR="00965E16"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Необходимые приборы и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принадлежности:</w:t>
            </w:r>
          </w:p>
        </w:tc>
      </w:tr>
      <w:tr w:rsidR="00965E16"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постоянной Ридберга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Монохроматор УМ-2, водородная трубка , источник постоянного тока (выпрямитель).</w:t>
            </w:r>
          </w:p>
        </w:tc>
      </w:tr>
      <w:tr w:rsidR="00965E16"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Изучение оптических спектров водород подобных атомов. 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Монохроматор УМ-2, гелиевая газоразрядная лампа.</w:t>
            </w:r>
          </w:p>
        </w:tc>
      </w:tr>
      <w:tr w:rsidR="00965E16"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Градуировка монохроматора и изучение атомных спектров.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Монохроматор УМ-2, неоновая лампа.</w:t>
            </w:r>
          </w:p>
        </w:tc>
      </w:tr>
      <w:tr w:rsidR="00965E16">
        <w:trPr>
          <w:trHeight w:val="583"/>
        </w:trPr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массы и времени жизни   некоторых                                                                          элементарных частиц.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Фотографии треков частиц, графики зависимостей длины пробега частиц в пузырьковой  камере от кинетической энергии и </w:t>
            </w:r>
            <w:r>
              <w:rPr>
                <w:color w:val="000000"/>
              </w:rPr>
              <w:t>импульса от кинетической энергии, линейка, транспортир.</w:t>
            </w:r>
          </w:p>
        </w:tc>
      </w:tr>
      <w:tr w:rsidR="00965E16">
        <w:trPr>
          <w:trHeight w:val="1139"/>
        </w:trPr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зависимости проводимости металла от температуры.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Катушка из медной проволоки, нагреватель, прибор для измерения сопротивления, тумблера</w:t>
            </w:r>
          </w:p>
        </w:tc>
      </w:tr>
      <w:tr w:rsidR="00965E16">
        <w:trPr>
          <w:trHeight w:val="1415"/>
        </w:trPr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точки Кюри ферромагнетика.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Никелевая пластинка, нагреватель, термопара, милливольтметр на 25 мВ, миллиамперметр на 1мА, тумблер</w:t>
            </w:r>
          </w:p>
        </w:tc>
      </w:tr>
      <w:tr w:rsidR="00965E16">
        <w:trPr>
          <w:trHeight w:val="1691"/>
        </w:trPr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Изучение термосопротивления 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Терморезистор ММТ-4, потенциометр, вольтметр, миллиамперметр, нагреватель, термометр, прибор для измерения сопротивления, источник питания на 30В, тумблеры</w:t>
            </w:r>
          </w:p>
        </w:tc>
      </w:tr>
      <w:tr w:rsidR="00965E16">
        <w:trPr>
          <w:trHeight w:val="863"/>
        </w:trPr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туннельного диода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Туннельный диод АИ-201А, вольтметр, миллиамперметр, нагреватель, прибор для измерения сопротивления, источник питания на 1,5 В, потенциометр, тумблеры</w:t>
            </w:r>
          </w:p>
        </w:tc>
      </w:tr>
      <w:tr w:rsidR="00965E16">
        <w:trPr>
          <w:trHeight w:val="1967"/>
        </w:trPr>
        <w:tc>
          <w:tcPr>
            <w:tcW w:w="681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70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Изучение транзистора </w:t>
            </w:r>
          </w:p>
        </w:tc>
        <w:tc>
          <w:tcPr>
            <w:tcW w:w="423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Транзистр КТ-602А, вольтметр, миллиамперметр, нагреватель, прибор для измерения сопротивления, источник питания на 1,5 и 30В,потенциометр, тумблеры </w:t>
            </w: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 Дисциплина «</w:t>
      </w:r>
      <w:r>
        <w:rPr>
          <w:b/>
          <w:color w:val="000000"/>
        </w:rPr>
        <w:t>Теоретические основы электротехники 1,2,3»</w:t>
      </w:r>
    </w:p>
    <w:tbl>
      <w:tblPr>
        <w:tblStyle w:val="afb"/>
        <w:tblW w:w="9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529"/>
        <w:gridCol w:w="4326"/>
      </w:tblGrid>
      <w:tr w:rsidR="00965E16">
        <w:trPr>
          <w:trHeight w:val="72"/>
        </w:trPr>
        <w:tc>
          <w:tcPr>
            <w:tcW w:w="745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 п/п</w:t>
            </w:r>
          </w:p>
        </w:tc>
        <w:tc>
          <w:tcPr>
            <w:tcW w:w="452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Лабораторные работы </w:t>
            </w:r>
          </w:p>
        </w:tc>
        <w:tc>
          <w:tcPr>
            <w:tcW w:w="432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Наглядные пособия и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стенды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9600" w:type="dxa"/>
            <w:gridSpan w:val="3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Теоретические основы электротехники, часть 1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активного 2-хполюсника и линии электропередачи постоянного тока</w:t>
            </w:r>
          </w:p>
        </w:tc>
        <w:tc>
          <w:tcPr>
            <w:tcW w:w="4326" w:type="dxa"/>
            <w:vMerge w:val="restart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Лабораторный стенд «ТОЭ, часть I»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Основные формулы в СИ и в Гауссовой системе; Простая электрическая цепь;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Постоянный электрический ток.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Способы соединения резисторов;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Расчет сложной электрической цепи методом уравнений Кирхгофа. Режим работы источников; Получение переменного тока; Изображение синусоидальных величин с помощью векторов; Однофазные цепи синусоид</w:t>
            </w:r>
            <w:r>
              <w:rPr>
                <w:color w:val="000000"/>
              </w:rPr>
              <w:t>ального тока; Важнейшие формулы векторного анализа; Исследование линейных цепей синусоидального тока; Исследование резонанса в последовательной RLC-цепи (Резонанс напряжений); Исследование резонанса в параллельной RLC-цепи (Резонанс токов); Исследование ма</w:t>
            </w:r>
            <w:r>
              <w:rPr>
                <w:color w:val="000000"/>
              </w:rPr>
              <w:t>гнитосвязанных цепей;</w:t>
            </w: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Опытная проверка законов Кирхгофа и Ома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Принцип наложения. Потенциальная диаграмма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Пассивный двухполюсник в цепи синусоидального тока и простейшие векторные диаграммы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неразветвленных цепей переменного тока. Резонанс напряжений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разветвленной электрической цепи синусоидального тока. Резонанс токов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Электрические цепи со взаимной индуктивностью. 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Воздушный трансформатор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9600" w:type="dxa"/>
            <w:gridSpan w:val="3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Теоретические основы электротехники, часть 2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трехфазной цепи соединенной звездой</w:t>
            </w:r>
          </w:p>
        </w:tc>
        <w:tc>
          <w:tcPr>
            <w:tcW w:w="4326" w:type="dxa"/>
            <w:vMerge w:val="restart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Лабораторный стенд «ТОЭ, часть II»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Трехфазные электрические цепи;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трехфазных цепей;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Соединение потребителя по схеме «треугольник», «звезда»;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Расчет токов при несимметричной нагрузке;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переходных процессов в линейных электрических цепях;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электрических цепей периодического несинусоидального тока;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трехфазной цепи соединенной треугольником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Переходные процессы в линейных электрических цепях с одним накопителем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Переходные процессы в линейных электрических цепях с двумя накопителями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Линейные цепи несинусоидального периодического тока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Нелинейные электрические цепи постоянного тока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9600" w:type="dxa"/>
            <w:gridSpan w:val="3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Теоретические основы электротехники, часть 3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электромагнитного состояния катушки на ферромагнитном магнитопроводе в цепи переменного тока</w:t>
            </w:r>
          </w:p>
        </w:tc>
        <w:tc>
          <w:tcPr>
            <w:tcW w:w="4326" w:type="dxa"/>
            <w:vMerge w:val="restart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Лабораторный стенд «ТОЭ, часть III»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Электромагнитные силы;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Магнитное поле электрического тока;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Намагничивание ферромагнитных материалов;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Циклическое перемагничивание;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Электростатическое поле;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Магнитные цепи;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Характеристики магнитного поля. Закон полного тока;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Электромагнитные колебания и волны;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Модель длинной линии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электростатического поля двухпроводной линии передач методом электролитической ванны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Моделирование магнитного поля электрической машины полем тока в проводящем листе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rPr>
          <w:trHeight w:val="72"/>
        </w:trPr>
        <w:tc>
          <w:tcPr>
            <w:tcW w:w="745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2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Моделирование плоскопараллельного потенциального поля кабелей полем в проводящей бумаге</w:t>
            </w:r>
          </w:p>
        </w:tc>
        <w:tc>
          <w:tcPr>
            <w:tcW w:w="4326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Дисциплина «Электротехнические материалы»</w:t>
      </w:r>
    </w:p>
    <w:tbl>
      <w:tblPr>
        <w:tblStyle w:val="afc"/>
        <w:tblW w:w="97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507"/>
      </w:tblGrid>
      <w:tr w:rsidR="00965E16">
        <w:trPr>
          <w:trHeight w:val="231"/>
        </w:trPr>
        <w:tc>
          <w:tcPr>
            <w:tcW w:w="70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 п/п</w:t>
            </w:r>
          </w:p>
        </w:tc>
        <w:tc>
          <w:tcPr>
            <w:tcW w:w="4536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Лабораторные работы </w:t>
            </w:r>
          </w:p>
        </w:tc>
        <w:tc>
          <w:tcPr>
            <w:tcW w:w="4507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Наглядные пособия и 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стенды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температурного коэффициента сопротивления проводниковых и полупроводниковых материалов</w:t>
            </w:r>
          </w:p>
        </w:tc>
        <w:tc>
          <w:tcPr>
            <w:tcW w:w="4507" w:type="dxa"/>
            <w:vMerge w:val="restart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Лабораторный стенд «ЭТМ2-С-К» или его аналог</w:t>
            </w: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Измерение сопротивлений и определение удельных сопротивлений проводников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фотопроводимости полупроводников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барьерного фотоэффекта и снятие вольтамперной характеристики фотодиода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диэлектрической проницаемости и тангенса угла диэлектрических потерь изоляционных материалов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Снятие поляризационной характеристики диэлектрика и её зависимости от температуры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прямого и обратного пьезоэффекта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электрической прочности воздуха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Снятие начальной кривой намагничивания ферромагнитных материалов и определение магнитной проницаемости    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Снятие петли гистерезиса ферромагнитного материала с помощью осциллографа и построение основной кривой намагничивания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Снятие петли гистерезиса ферромагнитного материала с помощью осциллографа и определение точки Кюри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Исследование физических и электрических свойств жидких диэлектриков</w:t>
            </w:r>
          </w:p>
        </w:tc>
        <w:tc>
          <w:tcPr>
            <w:tcW w:w="4507" w:type="dxa"/>
            <w:vMerge w:val="restart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Аппарат типа АИИ-70 или его аналог</w:t>
            </w: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Определение электрической прочности твердых диэлектриков</w:t>
            </w:r>
          </w:p>
        </w:tc>
        <w:tc>
          <w:tcPr>
            <w:tcW w:w="4507" w:type="dxa"/>
            <w:vMerge/>
          </w:tcPr>
          <w:p w:rsidR="00965E16" w:rsidRDefault="0096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70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4536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Изучение свойств диэлектрических материалов</w:t>
            </w:r>
          </w:p>
        </w:tc>
        <w:tc>
          <w:tcPr>
            <w:tcW w:w="4507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Лабораторный стенд с электроизоляционными материалами</w:t>
            </w:r>
          </w:p>
        </w:tc>
      </w:tr>
    </w:tbl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Дисциплина «Электроснабжение»</w:t>
      </w:r>
    </w:p>
    <w:tbl>
      <w:tblPr>
        <w:tblStyle w:val="afd"/>
        <w:tblW w:w="96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59"/>
        <w:gridCol w:w="4253"/>
      </w:tblGrid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59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Лабораторные стенды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Исследование влияния отклонения напряжения на выводах асинхронного двигателя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Исследование влияния качества напряжения на работу асинхронного двигателя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вопросов режима нейтрали энергоустановок напряжением до и выше 1000 В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Режим нейтрали источников и приемников электрической энергии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Измерение и изучение учета электрической энергии с помощью электрических установок  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Учет электрической энергии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Определение величины емкости, необходимой для компенсации реактивной мощности.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Компенсация реактивной мощности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графиков электрических нагрузок промышленных потребителей и определение коэффициентов графиков электрических нагрузок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Исследование графиков электрической энергии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Исследование и изучение понизительных подстанция и схем замещений подстанций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типовых схем главной понизительной подстанции</w:t>
            </w:r>
          </w:p>
        </w:tc>
      </w:tr>
      <w:tr w:rsidR="00965E16">
        <w:tc>
          <w:tcPr>
            <w:tcW w:w="710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659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Изучение основных метрологических характеристик трансформаторов тока, эксп</w:t>
            </w:r>
            <w:r>
              <w:rPr>
                <w:color w:val="000000"/>
              </w:rPr>
              <w:t>ериментальное исследование и анализ схем соединений трансформаторов и реле тока.</w:t>
            </w:r>
          </w:p>
        </w:tc>
        <w:tc>
          <w:tcPr>
            <w:tcW w:w="4253" w:type="dxa"/>
            <w:vAlign w:val="center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</w:rPr>
            </w:pPr>
            <w:r>
              <w:rPr>
                <w:color w:val="000000"/>
              </w:rPr>
              <w:t>Исследование метрологических характеристик трансформаторов тока</w:t>
            </w: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Допускается змена оборудования его виртуальными аналогами.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5.3.4. Оценка качества подготовки выпускников.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ВУЗ обязан обеспечивать гарантию качества подготовки, в том числе путем: </w:t>
      </w:r>
    </w:p>
    <w:p w:rsidR="00965E16" w:rsidRDefault="006A6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965E16" w:rsidRDefault="006A6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мониторинга, периодического рецензирования образовательных программ;</w:t>
      </w:r>
    </w:p>
    <w:p w:rsidR="00965E16" w:rsidRDefault="006A6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разработки объективных процедур оценки уровня знаний и умений обучающихся, компетенций выпускников;</w:t>
      </w:r>
    </w:p>
    <w:p w:rsidR="00965E16" w:rsidRDefault="006A6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обеспечения компетентности преподавательского состава;</w:t>
      </w:r>
    </w:p>
    <w:p w:rsidR="00965E16" w:rsidRDefault="006A6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регулярного проведения самообследования по согласованным критериям для оценки своей деятельности (стр</w:t>
      </w:r>
      <w:r>
        <w:rPr>
          <w:color w:val="000000"/>
        </w:rPr>
        <w:t>атегии) и сопоставления ее с деятельностью других образовательных учреждений с привлечением представителей работодателей;</w:t>
      </w:r>
    </w:p>
    <w:p w:rsidR="00965E16" w:rsidRDefault="006A6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информирования общественности о результатах своей деятельности, планах, инновациях.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Оценка качества освоения основных образовательных </w:t>
      </w:r>
      <w:r>
        <w:rPr>
          <w:color w:val="000000"/>
        </w:rPr>
        <w:t>программ должна включать в себя текущий контроль успеваемости, промежуточную аттестацию обучающихся и итоговую государственную аттестацию выпускников.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</w:t>
      </w:r>
      <w:r>
        <w:rPr>
          <w:color w:val="000000"/>
        </w:rPr>
        <w:lastRenderedPageBreak/>
        <w:t>течение первого месяца обучения. Для аттестации обучающихся на соответствие их персональн</w:t>
      </w:r>
      <w:r>
        <w:rPr>
          <w:color w:val="000000"/>
        </w:rPr>
        <w:t>ых достижений поэтапным требованиям соответствующей ООП (текущий контроль успеваемости и промежуточная аттестация) создаются фонды оценочных средств, включающие типовые задания, курсовые проекты (работы),  контрольные работы, тесты и методы контроля, позво</w:t>
      </w:r>
      <w:r>
        <w:rPr>
          <w:color w:val="000000"/>
        </w:rPr>
        <w:t>ляющие оценить знания, умения и уровень приобретенных компетенций. Фонды оценочных средств разрабатываются и утверждаются вузом.  Вузом должны быть созданы условия для максимального приближения программ текущего контроля успеваемости и промежуточной аттест</w:t>
      </w:r>
      <w:r>
        <w:rPr>
          <w:color w:val="000000"/>
        </w:rPr>
        <w:t xml:space="preserve">ации обучающихся к условиям их будущей профессиональной деятельности, для чего кроме преподавателей конкретной дисциплины в качестве внешних экспертов должны активно привлекаться работодатели, преподаватели, читающие смежные дисциплины и т.п.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Обучающимся </w:t>
      </w:r>
      <w:r>
        <w:rPr>
          <w:color w:val="000000"/>
        </w:rPr>
        <w:t xml:space="preserve">должна быть предоставлена возможность оценивания содержания, организации и качества учебного процесса в целом, а также работы отдельных преподавателей. </w:t>
      </w: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rPr>
          <w:color w:val="000000"/>
        </w:rPr>
        <w:t xml:space="preserve">Итоговая государственная аттестация </w:t>
      </w:r>
      <w:r>
        <w:t>включает подготовку к сдаче и сдачу государственных экзаменов, выпо</w:t>
      </w:r>
      <w:r>
        <w:t>лнение и защиту выпускной квалификационной работы (если вуз включил выпускную квалификационную работу в состав итоговой государственной аттестации).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965E16" w:rsidRDefault="006A6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Настоящий Государственный образовательный стандарт по направлению </w:t>
      </w:r>
      <w:r>
        <w:rPr>
          <w:b/>
          <w:color w:val="000000"/>
        </w:rPr>
        <w:t>640200- «Электроэнергетика и электротехника»</w:t>
      </w:r>
      <w:r>
        <w:rPr>
          <w:color w:val="000000"/>
        </w:rPr>
        <w:t xml:space="preserve"> разработан Учебно-методическим объединением по образованию в области техники и технологии при базовом вузе – Кыргызском государственном техническом университете им. И.Раззакова.</w:t>
      </w: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e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1"/>
        <w:gridCol w:w="2228"/>
        <w:gridCol w:w="2213"/>
      </w:tblGrid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Председатель УМО по образованию в области техники и технологии при базовом вузе – КГТУ  им. И. Раззакова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  <w:tab w:val="center" w:pos="996"/>
              </w:tabs>
              <w:spacing w:line="240" w:lineRule="auto"/>
              <w:ind w:left="0" w:hanging="2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ab/>
            </w: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М.К. Чыныбаев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Члены УМО: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Декан ЭФ, руководитель  УМО секции</w:t>
            </w: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«Энергетика и электротехника», д.т.н., проф. 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  <w:tab w:val="center" w:pos="996"/>
              </w:tabs>
              <w:spacing w:line="240" w:lineRule="auto"/>
              <w:ind w:left="0" w:hanging="2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ab/>
            </w: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Ж.Т. Галбаев 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Декан ВШМ, зам. руководителя УМО секции, к.т.н., доцент</w:t>
            </w: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Ч.А. Кадыров 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4881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Проф. каф. «Нетрадиционные и возобновляемые источники энергии» (НВИЭ), КРСУ,  д.т.н., проф.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И.А. Аккозиев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Зам.ген.директора ОАО «Бишкектеплосеть»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Н.К. Кайдуев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Проф.кафедры «Электромеханика», КГТУ, д.т.н. 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И.В. Бочкарев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Зав.каф. «Электроэнергетика» КГТУ, д.т.н., проф.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А.Б. Бакасова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Зав.каф. «Возобновляемые источники энергии», к.т.н., доцент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Т.Ж. Жабудаев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Зав.каф. «Электромеханика», к.т.н., доцент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М.Г. Гунина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Доцент каф. «Электроэнергетика», к.т.н.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Н.Д. Таабалдиева</w:t>
            </w:r>
          </w:p>
        </w:tc>
      </w:tr>
      <w:tr w:rsidR="00965E16">
        <w:trPr>
          <w:trHeight w:val="876"/>
        </w:trPr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Зав.каф. «Электроснабжение», к.т.н., доцент</w:t>
            </w: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Б.И.Сариев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" w:hanging="2"/>
              <w:rPr>
                <w:color w:val="000000"/>
              </w:rPr>
            </w:pPr>
            <w:r>
              <w:rPr>
                <w:color w:val="000000"/>
              </w:rPr>
              <w:t>Зав.каф. «Теплоэнергетика», к.т.н. доцент.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С.М. Насирдинова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" w:hanging="2"/>
              <w:rPr>
                <w:color w:val="000000"/>
              </w:rPr>
            </w:pPr>
            <w:r>
              <w:rPr>
                <w:color w:val="000000"/>
              </w:rPr>
              <w:t>Зав.каф. «Техносферная безопасность», к.т.н. доцент.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Ж.М. Омуров</w:t>
            </w:r>
          </w:p>
        </w:tc>
      </w:tr>
      <w:tr w:rsidR="00965E16">
        <w:tc>
          <w:tcPr>
            <w:tcW w:w="4881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Доцент. каф. «Нетрадиционные и возобновляемые источники энергии» (НВИЭ), КРСУ,  к.т.н., проф.</w:t>
            </w: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Ю.П. Симаков</w:t>
            </w:r>
          </w:p>
        </w:tc>
      </w:tr>
      <w:tr w:rsidR="00965E16">
        <w:tc>
          <w:tcPr>
            <w:tcW w:w="4881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Зам.ген.директора ОАО «Северэлектро»</w:t>
            </w: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Т.О.Жаныбаев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Зам.ген.директора «НЭСК»</w:t>
            </w: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А.Р.Рыспеков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Первый зам.ген.директора ОАО «Электрические станции»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Т.Э.Бектенов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Декан физико-технического факультета, ОшГУ, к.т.н., доцент </w:t>
            </w:r>
          </w:p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З.Ш.Айдарбеков</w:t>
            </w:r>
          </w:p>
        </w:tc>
      </w:tr>
      <w:tr w:rsidR="00965E16">
        <w:tc>
          <w:tcPr>
            <w:tcW w:w="4881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Декан ЭФ, ОшТУ, к.т.н., доцент</w:t>
            </w: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ab/>
              <w:t>(подпись)</w:t>
            </w:r>
          </w:p>
        </w:tc>
        <w:tc>
          <w:tcPr>
            <w:tcW w:w="2213" w:type="dxa"/>
          </w:tcPr>
          <w:p w:rsidR="00965E16" w:rsidRDefault="006A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М.П.Токоев</w:t>
            </w:r>
          </w:p>
        </w:tc>
      </w:tr>
      <w:tr w:rsidR="00965E16">
        <w:tc>
          <w:tcPr>
            <w:tcW w:w="4881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65E16">
        <w:tc>
          <w:tcPr>
            <w:tcW w:w="4881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8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13" w:type="dxa"/>
          </w:tcPr>
          <w:p w:rsidR="00965E16" w:rsidRDefault="0096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65E16" w:rsidRDefault="00965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sectPr w:rsidR="00965E16" w:rsidSect="0043036F">
      <w:headerReference w:type="even" r:id="rId9"/>
      <w:footerReference w:type="default" r:id="rId10"/>
      <w:pgSz w:w="11906" w:h="16838"/>
      <w:pgMar w:top="993" w:right="56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B2" w:rsidRDefault="006A62B2">
      <w:pPr>
        <w:spacing w:line="240" w:lineRule="auto"/>
        <w:ind w:left="0" w:hanging="2"/>
      </w:pPr>
      <w:r>
        <w:separator/>
      </w:r>
    </w:p>
  </w:endnote>
  <w:endnote w:type="continuationSeparator" w:id="0">
    <w:p w:rsidR="006A62B2" w:rsidRDefault="006A62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16" w:rsidRDefault="006A62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3036F">
      <w:rPr>
        <w:color w:val="000000"/>
      </w:rPr>
      <w:fldChar w:fldCharType="separate"/>
    </w:r>
    <w:r w:rsidR="0043036F">
      <w:rPr>
        <w:noProof/>
        <w:color w:val="000000"/>
      </w:rPr>
      <w:t>2</w:t>
    </w:r>
    <w:r>
      <w:rPr>
        <w:color w:val="000000"/>
      </w:rPr>
      <w:fldChar w:fldCharType="end"/>
    </w:r>
  </w:p>
  <w:p w:rsidR="00965E16" w:rsidRDefault="00965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B2" w:rsidRDefault="006A62B2">
      <w:pPr>
        <w:spacing w:line="240" w:lineRule="auto"/>
        <w:ind w:left="0" w:hanging="2"/>
      </w:pPr>
      <w:r>
        <w:separator/>
      </w:r>
    </w:p>
  </w:footnote>
  <w:footnote w:type="continuationSeparator" w:id="0">
    <w:p w:rsidR="006A62B2" w:rsidRDefault="006A62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16" w:rsidRDefault="006A62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65E16" w:rsidRDefault="00965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7BC"/>
    <w:multiLevelType w:val="multilevel"/>
    <w:tmpl w:val="EDBA813A"/>
    <w:lvl w:ilvl="0">
      <w:start w:val="1"/>
      <w:numFmt w:val="bullet"/>
      <w:lvlText w:val="●"/>
      <w:lvlJc w:val="left"/>
      <w:pPr>
        <w:ind w:left="288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7D866CD"/>
    <w:multiLevelType w:val="multilevel"/>
    <w:tmpl w:val="4112B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2E513D"/>
    <w:multiLevelType w:val="multilevel"/>
    <w:tmpl w:val="9168D94C"/>
    <w:lvl w:ilvl="0">
      <w:start w:val="410612504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20E3485"/>
    <w:multiLevelType w:val="multilevel"/>
    <w:tmpl w:val="23D86584"/>
    <w:lvl w:ilvl="0">
      <w:start w:val="1"/>
      <w:numFmt w:val="bullet"/>
      <w:lvlText w:val="−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CF57CB6"/>
    <w:multiLevelType w:val="multilevel"/>
    <w:tmpl w:val="5B92761E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1FE27A5"/>
    <w:multiLevelType w:val="multilevel"/>
    <w:tmpl w:val="31B8EF10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1D80F84"/>
    <w:multiLevelType w:val="multilevel"/>
    <w:tmpl w:val="D5300AF2"/>
    <w:lvl w:ilvl="0">
      <w:start w:val="410581312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2E31AEF"/>
    <w:multiLevelType w:val="multilevel"/>
    <w:tmpl w:val="099888E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6CF18C1"/>
    <w:multiLevelType w:val="multilevel"/>
    <w:tmpl w:val="9678EFF8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689B6103"/>
    <w:multiLevelType w:val="multilevel"/>
    <w:tmpl w:val="F3E66744"/>
    <w:lvl w:ilvl="0">
      <w:start w:val="3"/>
      <w:numFmt w:val="decimal"/>
      <w:pStyle w:val="3"/>
      <w:lvlText w:val="%1."/>
      <w:lvlJc w:val="left"/>
      <w:pPr>
        <w:ind w:left="525" w:hanging="525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1082" w:hanging="52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48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422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79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896" w:hanging="1440"/>
      </w:pPr>
      <w:rPr>
        <w:vertAlign w:val="baseline"/>
      </w:rPr>
    </w:lvl>
  </w:abstractNum>
  <w:abstractNum w:abstractNumId="10">
    <w:nsid w:val="6DFE0B80"/>
    <w:multiLevelType w:val="multilevel"/>
    <w:tmpl w:val="E0E66A48"/>
    <w:lvl w:ilvl="0">
      <w:start w:val="1"/>
      <w:numFmt w:val="bullet"/>
      <w:pStyle w:val="a0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5D4063D"/>
    <w:multiLevelType w:val="multilevel"/>
    <w:tmpl w:val="157A2FC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E4B59BA"/>
    <w:multiLevelType w:val="multilevel"/>
    <w:tmpl w:val="F6969352"/>
    <w:lvl w:ilvl="0">
      <w:start w:val="2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16"/>
    <w:rsid w:val="0043036F"/>
    <w:rsid w:val="006A62B2"/>
    <w:rsid w:val="009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FD50-B0FF-40C5-8F11-B90BCCB2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1"/>
    <w:next w:val="a1"/>
    <w:pPr>
      <w:keepNext/>
      <w:keepLines/>
      <w:spacing w:before="480" w:line="259" w:lineRule="auto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1"/>
    <w:next w:val="a1"/>
    <w:pPr>
      <w:keepNext/>
      <w:widowControl w:val="0"/>
      <w:autoSpaceDE w:val="0"/>
      <w:autoSpaceDN w:val="0"/>
      <w:outlineLvl w:val="1"/>
    </w:pPr>
    <w:rPr>
      <w:sz w:val="28"/>
      <w:szCs w:val="28"/>
      <w:lang w:val="en-US"/>
    </w:rPr>
  </w:style>
  <w:style w:type="paragraph" w:styleId="30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1"/>
    <w:next w:val="a1"/>
    <w:pPr>
      <w:keepNext/>
      <w:widowControl w:val="0"/>
      <w:autoSpaceDE w:val="0"/>
      <w:autoSpaceDN w:val="0"/>
      <w:spacing w:before="240" w:after="2400"/>
      <w:jc w:val="right"/>
      <w:outlineLvl w:val="8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1">
    <w:name w:val="Style11"/>
    <w:basedOn w:val="a1"/>
    <w:pPr>
      <w:widowControl w:val="0"/>
      <w:autoSpaceDE w:val="0"/>
      <w:autoSpaceDN w:val="0"/>
      <w:adjustRightInd w:val="0"/>
      <w:spacing w:line="293" w:lineRule="atLeast"/>
      <w:ind w:firstLine="830"/>
    </w:pPr>
  </w:style>
  <w:style w:type="paragraph" w:customStyle="1" w:styleId="Style13">
    <w:name w:val="Style13"/>
    <w:basedOn w:val="a1"/>
    <w:pPr>
      <w:widowControl w:val="0"/>
      <w:autoSpaceDE w:val="0"/>
      <w:autoSpaceDN w:val="0"/>
      <w:adjustRightInd w:val="0"/>
      <w:spacing w:line="228" w:lineRule="atLeast"/>
      <w:jc w:val="center"/>
    </w:pPr>
  </w:style>
  <w:style w:type="paragraph" w:customStyle="1" w:styleId="Style14">
    <w:name w:val="Style14"/>
    <w:basedOn w:val="a1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1"/>
    <w:pPr>
      <w:widowControl w:val="0"/>
      <w:autoSpaceDE w:val="0"/>
      <w:autoSpaceDN w:val="0"/>
      <w:adjustRightInd w:val="0"/>
      <w:spacing w:line="230" w:lineRule="atLeast"/>
      <w:ind w:firstLine="1474"/>
      <w:jc w:val="both"/>
    </w:pPr>
  </w:style>
  <w:style w:type="character" w:customStyle="1" w:styleId="FontStyle74">
    <w:name w:val="Font Style74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yle18">
    <w:name w:val="Style18"/>
    <w:basedOn w:val="a1"/>
    <w:pPr>
      <w:widowControl w:val="0"/>
      <w:autoSpaceDE w:val="0"/>
      <w:autoSpaceDN w:val="0"/>
      <w:adjustRightInd w:val="0"/>
      <w:spacing w:line="226" w:lineRule="atLeast"/>
      <w:ind w:firstLine="523"/>
      <w:jc w:val="both"/>
    </w:pPr>
  </w:style>
  <w:style w:type="paragraph" w:customStyle="1" w:styleId="Style19">
    <w:name w:val="Style19"/>
    <w:basedOn w:val="a1"/>
    <w:pPr>
      <w:widowControl w:val="0"/>
      <w:autoSpaceDE w:val="0"/>
      <w:autoSpaceDN w:val="0"/>
      <w:adjustRightInd w:val="0"/>
      <w:spacing w:line="190" w:lineRule="atLeast"/>
      <w:ind w:firstLine="547"/>
      <w:jc w:val="both"/>
    </w:pPr>
  </w:style>
  <w:style w:type="character" w:customStyle="1" w:styleId="FontStyle78">
    <w:name w:val="Font Style78"/>
    <w:rPr>
      <w:rFonts w:ascii="Times New Roman" w:hAnsi="Times New Roman" w:cs="Times New Roman"/>
      <w:b/>
      <w:bCs/>
      <w:i/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20">
    <w:name w:val="Style20"/>
    <w:basedOn w:val="a1"/>
    <w:pPr>
      <w:widowControl w:val="0"/>
      <w:autoSpaceDE w:val="0"/>
      <w:autoSpaceDN w:val="0"/>
      <w:adjustRightInd w:val="0"/>
      <w:spacing w:line="234" w:lineRule="atLeast"/>
      <w:ind w:firstLine="523"/>
      <w:jc w:val="both"/>
    </w:pPr>
  </w:style>
  <w:style w:type="character" w:customStyle="1" w:styleId="FontStyle76">
    <w:name w:val="Font Style76"/>
    <w:rPr>
      <w:rFonts w:ascii="Times New Roman" w:hAnsi="Times New Roman" w:cs="Times New Roman"/>
      <w:b/>
      <w:bCs/>
      <w:spacing w:val="2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84">
    <w:name w:val="Font Style84"/>
    <w:rPr>
      <w:rFonts w:ascii="Times New Roman" w:hAnsi="Times New Roman" w:cs="Times New Roman"/>
      <w:b/>
      <w:bCs/>
      <w:spacing w:val="-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94">
    <w:name w:val="Font Style94"/>
    <w:rPr>
      <w:rFonts w:ascii="Times New Roman" w:hAnsi="Times New Roman" w:cs="Times New Roman"/>
      <w:b/>
      <w:bCs/>
      <w:w w:val="100"/>
      <w:position w:val="-1"/>
      <w:sz w:val="12"/>
      <w:szCs w:val="12"/>
      <w:effect w:val="none"/>
      <w:vertAlign w:val="baseline"/>
      <w:cs w:val="0"/>
      <w:em w:val="none"/>
    </w:rPr>
  </w:style>
  <w:style w:type="paragraph" w:customStyle="1" w:styleId="Style30">
    <w:name w:val="Style30"/>
    <w:basedOn w:val="a1"/>
    <w:pPr>
      <w:widowControl w:val="0"/>
      <w:autoSpaceDE w:val="0"/>
      <w:autoSpaceDN w:val="0"/>
      <w:adjustRightInd w:val="0"/>
      <w:spacing w:line="235" w:lineRule="atLeast"/>
      <w:ind w:firstLine="389"/>
      <w:jc w:val="both"/>
    </w:pPr>
  </w:style>
  <w:style w:type="paragraph" w:customStyle="1" w:styleId="Style1">
    <w:name w:val="Style1"/>
    <w:basedOn w:val="a1"/>
    <w:pPr>
      <w:widowControl w:val="0"/>
      <w:autoSpaceDE w:val="0"/>
      <w:autoSpaceDN w:val="0"/>
      <w:adjustRightInd w:val="0"/>
      <w:spacing w:line="235" w:lineRule="atLeast"/>
      <w:jc w:val="both"/>
    </w:pPr>
  </w:style>
  <w:style w:type="paragraph" w:customStyle="1" w:styleId="Style6">
    <w:name w:val="Style6"/>
    <w:basedOn w:val="a1"/>
    <w:pPr>
      <w:widowControl w:val="0"/>
      <w:autoSpaceDE w:val="0"/>
      <w:autoSpaceDN w:val="0"/>
      <w:adjustRightInd w:val="0"/>
      <w:spacing w:line="230" w:lineRule="atLeast"/>
      <w:ind w:firstLine="374"/>
      <w:jc w:val="both"/>
    </w:pPr>
  </w:style>
  <w:style w:type="paragraph" w:customStyle="1" w:styleId="Style33">
    <w:name w:val="Style33"/>
    <w:basedOn w:val="a1"/>
    <w:pPr>
      <w:widowControl w:val="0"/>
      <w:autoSpaceDE w:val="0"/>
      <w:autoSpaceDN w:val="0"/>
      <w:adjustRightInd w:val="0"/>
      <w:spacing w:line="230" w:lineRule="atLeast"/>
      <w:ind w:firstLine="1478"/>
    </w:pPr>
  </w:style>
  <w:style w:type="paragraph" w:customStyle="1" w:styleId="Style35">
    <w:name w:val="Style35"/>
    <w:basedOn w:val="a1"/>
    <w:pPr>
      <w:widowControl w:val="0"/>
      <w:autoSpaceDE w:val="0"/>
      <w:autoSpaceDN w:val="0"/>
      <w:adjustRightInd w:val="0"/>
      <w:spacing w:line="197" w:lineRule="atLeast"/>
      <w:ind w:firstLine="509"/>
      <w:jc w:val="both"/>
    </w:pPr>
  </w:style>
  <w:style w:type="paragraph" w:customStyle="1" w:styleId="Style38">
    <w:name w:val="Style38"/>
    <w:basedOn w:val="a1"/>
    <w:pPr>
      <w:widowControl w:val="0"/>
      <w:autoSpaceDE w:val="0"/>
      <w:autoSpaceDN w:val="0"/>
      <w:adjustRightInd w:val="0"/>
      <w:spacing w:line="228" w:lineRule="atLeast"/>
      <w:jc w:val="center"/>
    </w:pPr>
  </w:style>
  <w:style w:type="paragraph" w:customStyle="1" w:styleId="Style40">
    <w:name w:val="Style40"/>
    <w:basedOn w:val="a1"/>
    <w:pPr>
      <w:widowControl w:val="0"/>
      <w:autoSpaceDE w:val="0"/>
      <w:autoSpaceDN w:val="0"/>
      <w:adjustRightInd w:val="0"/>
      <w:spacing w:line="197" w:lineRule="atLeast"/>
      <w:jc w:val="both"/>
    </w:pPr>
  </w:style>
  <w:style w:type="paragraph" w:customStyle="1" w:styleId="Style42">
    <w:name w:val="Style42"/>
    <w:basedOn w:val="a1"/>
    <w:pPr>
      <w:widowControl w:val="0"/>
      <w:autoSpaceDE w:val="0"/>
      <w:autoSpaceDN w:val="0"/>
      <w:adjustRightInd w:val="0"/>
      <w:spacing w:line="226" w:lineRule="atLeast"/>
      <w:ind w:firstLine="1368"/>
    </w:pPr>
  </w:style>
  <w:style w:type="character" w:customStyle="1" w:styleId="FontStyle77">
    <w:name w:val="Font Style77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50">
    <w:name w:val="Style50"/>
    <w:basedOn w:val="a1"/>
    <w:pPr>
      <w:widowControl w:val="0"/>
      <w:autoSpaceDE w:val="0"/>
      <w:autoSpaceDN w:val="0"/>
      <w:adjustRightInd w:val="0"/>
      <w:spacing w:line="216" w:lineRule="atLeast"/>
      <w:ind w:hanging="1757"/>
    </w:pPr>
  </w:style>
  <w:style w:type="paragraph" w:customStyle="1" w:styleId="Style62">
    <w:name w:val="Style62"/>
    <w:basedOn w:val="a1"/>
    <w:pPr>
      <w:widowControl w:val="0"/>
      <w:autoSpaceDE w:val="0"/>
      <w:autoSpaceDN w:val="0"/>
      <w:adjustRightInd w:val="0"/>
      <w:spacing w:line="194" w:lineRule="atLeast"/>
      <w:ind w:firstLine="53"/>
      <w:jc w:val="both"/>
    </w:pPr>
  </w:style>
  <w:style w:type="paragraph" w:customStyle="1" w:styleId="Style63">
    <w:name w:val="Style63"/>
    <w:basedOn w:val="a1"/>
    <w:pPr>
      <w:widowControl w:val="0"/>
      <w:autoSpaceDE w:val="0"/>
      <w:autoSpaceDN w:val="0"/>
      <w:adjustRightInd w:val="0"/>
      <w:spacing w:line="226" w:lineRule="atLeast"/>
      <w:ind w:firstLine="528"/>
      <w:jc w:val="both"/>
    </w:pPr>
  </w:style>
  <w:style w:type="paragraph" w:customStyle="1" w:styleId="Style4">
    <w:name w:val="Style4"/>
    <w:basedOn w:val="a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1"/>
    <w:pPr>
      <w:widowControl w:val="0"/>
      <w:autoSpaceDE w:val="0"/>
      <w:autoSpaceDN w:val="0"/>
      <w:adjustRightInd w:val="0"/>
      <w:spacing w:line="235" w:lineRule="atLeast"/>
      <w:ind w:hanging="2040"/>
    </w:pPr>
  </w:style>
  <w:style w:type="paragraph" w:customStyle="1" w:styleId="Style22">
    <w:name w:val="Style22"/>
    <w:basedOn w:val="a1"/>
    <w:pPr>
      <w:widowControl w:val="0"/>
      <w:autoSpaceDE w:val="0"/>
      <w:autoSpaceDN w:val="0"/>
      <w:adjustRightInd w:val="0"/>
      <w:spacing w:line="204" w:lineRule="atLeast"/>
      <w:ind w:firstLine="413"/>
      <w:jc w:val="both"/>
    </w:pPr>
  </w:style>
  <w:style w:type="paragraph" w:customStyle="1" w:styleId="Style68">
    <w:name w:val="Style68"/>
    <w:basedOn w:val="a1"/>
    <w:pPr>
      <w:widowControl w:val="0"/>
      <w:autoSpaceDE w:val="0"/>
      <w:autoSpaceDN w:val="0"/>
      <w:adjustRightInd w:val="0"/>
      <w:spacing w:line="194" w:lineRule="atLeast"/>
      <w:ind w:firstLine="442"/>
    </w:pPr>
  </w:style>
  <w:style w:type="paragraph" w:customStyle="1" w:styleId="Style49">
    <w:name w:val="Style49"/>
    <w:basedOn w:val="a1"/>
    <w:pPr>
      <w:widowControl w:val="0"/>
      <w:autoSpaceDE w:val="0"/>
      <w:autoSpaceDN w:val="0"/>
      <w:adjustRightInd w:val="0"/>
      <w:spacing w:line="228" w:lineRule="atLeast"/>
      <w:ind w:firstLine="1056"/>
      <w:jc w:val="both"/>
    </w:pPr>
  </w:style>
  <w:style w:type="paragraph" w:customStyle="1" w:styleId="Style28">
    <w:name w:val="Style28"/>
    <w:basedOn w:val="a1"/>
    <w:pPr>
      <w:widowControl w:val="0"/>
      <w:autoSpaceDE w:val="0"/>
      <w:autoSpaceDN w:val="0"/>
      <w:adjustRightInd w:val="0"/>
      <w:spacing w:line="192" w:lineRule="atLeast"/>
      <w:ind w:firstLine="605"/>
    </w:pPr>
  </w:style>
  <w:style w:type="paragraph" w:customStyle="1" w:styleId="Style44">
    <w:name w:val="Style44"/>
    <w:basedOn w:val="a1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1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Pr>
      <w:rFonts w:ascii="Times New Roman" w:hAnsi="Times New Roman" w:cs="Times New Roman"/>
      <w:b/>
      <w:bCs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yle8">
    <w:name w:val="Style8"/>
    <w:basedOn w:val="a1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1"/>
    <w:pPr>
      <w:widowControl w:val="0"/>
      <w:autoSpaceDE w:val="0"/>
      <w:autoSpaceDN w:val="0"/>
      <w:adjustRightInd w:val="0"/>
      <w:spacing w:line="211" w:lineRule="atLeast"/>
      <w:ind w:firstLine="859"/>
    </w:pPr>
  </w:style>
  <w:style w:type="paragraph" w:customStyle="1" w:styleId="Style60">
    <w:name w:val="Style60"/>
    <w:basedOn w:val="a1"/>
    <w:pPr>
      <w:widowControl w:val="0"/>
      <w:autoSpaceDE w:val="0"/>
      <w:autoSpaceDN w:val="0"/>
      <w:adjustRightInd w:val="0"/>
      <w:spacing w:line="197" w:lineRule="atLeast"/>
      <w:ind w:hanging="110"/>
    </w:pPr>
  </w:style>
  <w:style w:type="paragraph" w:customStyle="1" w:styleId="Style29">
    <w:name w:val="Style29"/>
    <w:basedOn w:val="a1"/>
    <w:pPr>
      <w:widowControl w:val="0"/>
      <w:autoSpaceDE w:val="0"/>
      <w:autoSpaceDN w:val="0"/>
      <w:adjustRightInd w:val="0"/>
      <w:spacing w:line="238" w:lineRule="atLeast"/>
    </w:pPr>
  </w:style>
  <w:style w:type="character" w:customStyle="1" w:styleId="FontStyle80">
    <w:name w:val="Font Style80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yle31">
    <w:name w:val="Style31"/>
    <w:basedOn w:val="a1"/>
    <w:pPr>
      <w:widowControl w:val="0"/>
      <w:autoSpaceDE w:val="0"/>
      <w:autoSpaceDN w:val="0"/>
      <w:adjustRightInd w:val="0"/>
      <w:spacing w:line="226" w:lineRule="atLeast"/>
      <w:ind w:firstLine="533"/>
    </w:pPr>
  </w:style>
  <w:style w:type="paragraph" w:customStyle="1" w:styleId="Style56">
    <w:name w:val="Style56"/>
    <w:basedOn w:val="a1"/>
    <w:pPr>
      <w:widowControl w:val="0"/>
      <w:autoSpaceDE w:val="0"/>
      <w:autoSpaceDN w:val="0"/>
      <w:adjustRightInd w:val="0"/>
      <w:spacing w:line="221" w:lineRule="atLeast"/>
      <w:ind w:firstLine="494"/>
    </w:pPr>
  </w:style>
  <w:style w:type="paragraph" w:customStyle="1" w:styleId="Style64">
    <w:name w:val="Style64"/>
    <w:basedOn w:val="a1"/>
    <w:pPr>
      <w:widowControl w:val="0"/>
      <w:autoSpaceDE w:val="0"/>
      <w:autoSpaceDN w:val="0"/>
      <w:adjustRightInd w:val="0"/>
      <w:spacing w:line="192" w:lineRule="atLeast"/>
      <w:ind w:firstLine="518"/>
    </w:pPr>
  </w:style>
  <w:style w:type="paragraph" w:customStyle="1" w:styleId="Style2">
    <w:name w:val="Style2"/>
    <w:basedOn w:val="a1"/>
    <w:pPr>
      <w:widowControl w:val="0"/>
      <w:autoSpaceDE w:val="0"/>
      <w:autoSpaceDN w:val="0"/>
      <w:adjustRightInd w:val="0"/>
      <w:spacing w:line="230" w:lineRule="atLeast"/>
      <w:ind w:firstLine="206"/>
    </w:pPr>
  </w:style>
  <w:style w:type="character" w:customStyle="1" w:styleId="FontStyle96">
    <w:name w:val="Font Style96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27">
    <w:name w:val="Style27"/>
    <w:basedOn w:val="a1"/>
    <w:pPr>
      <w:widowControl w:val="0"/>
      <w:autoSpaceDE w:val="0"/>
      <w:autoSpaceDN w:val="0"/>
      <w:adjustRightInd w:val="0"/>
      <w:spacing w:line="194" w:lineRule="atLeast"/>
      <w:ind w:firstLine="922"/>
    </w:pPr>
  </w:style>
  <w:style w:type="paragraph" w:customStyle="1" w:styleId="Style3">
    <w:name w:val="Style3"/>
    <w:basedOn w:val="a1"/>
    <w:pPr>
      <w:widowControl w:val="0"/>
      <w:autoSpaceDE w:val="0"/>
      <w:autoSpaceDN w:val="0"/>
      <w:adjustRightInd w:val="0"/>
      <w:spacing w:line="197" w:lineRule="atLeast"/>
      <w:ind w:firstLine="1330"/>
    </w:pPr>
  </w:style>
  <w:style w:type="paragraph" w:customStyle="1" w:styleId="Style43">
    <w:name w:val="Style43"/>
    <w:basedOn w:val="a1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1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1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1"/>
    <w:pPr>
      <w:widowControl w:val="0"/>
      <w:autoSpaceDE w:val="0"/>
      <w:autoSpaceDN w:val="0"/>
      <w:adjustRightInd w:val="0"/>
      <w:spacing w:line="230" w:lineRule="atLeast"/>
    </w:pPr>
  </w:style>
  <w:style w:type="paragraph" w:customStyle="1" w:styleId="Style70">
    <w:name w:val="Style70"/>
    <w:basedOn w:val="a1"/>
    <w:pPr>
      <w:widowControl w:val="0"/>
      <w:autoSpaceDE w:val="0"/>
      <w:autoSpaceDN w:val="0"/>
      <w:adjustRightInd w:val="0"/>
      <w:spacing w:line="230" w:lineRule="atLeast"/>
      <w:ind w:firstLine="408"/>
    </w:pPr>
  </w:style>
  <w:style w:type="character" w:customStyle="1" w:styleId="FontStyle98">
    <w:name w:val="Font Style98"/>
    <w:rPr>
      <w:rFonts w:ascii="Times New Roman" w:hAnsi="Times New Roman" w:cs="Times New Roman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99">
    <w:name w:val="Font Style99"/>
    <w:rPr>
      <w:rFonts w:ascii="Times New Roman" w:hAnsi="Times New Roman" w:cs="Times New Roman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67">
    <w:name w:val="Font Style67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68">
    <w:name w:val="Font Style68"/>
    <w:rPr>
      <w:rFonts w:ascii="Times New Roman" w:hAnsi="Times New Roman" w:cs="Times New Roman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70">
    <w:name w:val="Font Style70"/>
    <w:rPr>
      <w:rFonts w:ascii="Times New Roman" w:hAnsi="Times New Roman" w:cs="Times New Roman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71">
    <w:name w:val="Font Style71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21">
    <w:name w:val="Style21"/>
    <w:basedOn w:val="a1"/>
    <w:pPr>
      <w:widowControl w:val="0"/>
      <w:autoSpaceDE w:val="0"/>
      <w:autoSpaceDN w:val="0"/>
      <w:adjustRightInd w:val="0"/>
      <w:spacing w:line="230" w:lineRule="atLeast"/>
      <w:jc w:val="both"/>
    </w:pPr>
  </w:style>
  <w:style w:type="paragraph" w:customStyle="1" w:styleId="Style10">
    <w:name w:val="Style10"/>
    <w:basedOn w:val="a1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1"/>
    <w:pPr>
      <w:widowControl w:val="0"/>
      <w:autoSpaceDE w:val="0"/>
      <w:autoSpaceDN w:val="0"/>
      <w:adjustRightInd w:val="0"/>
      <w:jc w:val="right"/>
    </w:pPr>
  </w:style>
  <w:style w:type="paragraph" w:customStyle="1" w:styleId="Style41">
    <w:name w:val="Style41"/>
    <w:basedOn w:val="a1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pPr>
      <w:widowControl w:val="0"/>
      <w:autoSpaceDE w:val="0"/>
      <w:autoSpaceDN w:val="0"/>
      <w:adjustRightInd w:val="0"/>
      <w:spacing w:line="226" w:lineRule="atLeast"/>
      <w:ind w:firstLine="523"/>
      <w:jc w:val="both"/>
    </w:pPr>
  </w:style>
  <w:style w:type="paragraph" w:customStyle="1" w:styleId="Style23">
    <w:name w:val="Style23"/>
    <w:basedOn w:val="a1"/>
    <w:pPr>
      <w:widowControl w:val="0"/>
      <w:autoSpaceDE w:val="0"/>
      <w:autoSpaceDN w:val="0"/>
      <w:adjustRightInd w:val="0"/>
      <w:spacing w:line="194" w:lineRule="atLeast"/>
      <w:ind w:firstLine="413"/>
      <w:jc w:val="both"/>
    </w:pPr>
  </w:style>
  <w:style w:type="paragraph" w:customStyle="1" w:styleId="Style61">
    <w:name w:val="Style61"/>
    <w:basedOn w:val="a1"/>
    <w:pPr>
      <w:widowControl w:val="0"/>
      <w:autoSpaceDE w:val="0"/>
      <w:autoSpaceDN w:val="0"/>
      <w:adjustRightInd w:val="0"/>
      <w:spacing w:line="230" w:lineRule="atLeast"/>
      <w:ind w:firstLine="1286"/>
    </w:pPr>
  </w:style>
  <w:style w:type="paragraph" w:customStyle="1" w:styleId="Style53">
    <w:name w:val="Style53"/>
    <w:basedOn w:val="a1"/>
    <w:pPr>
      <w:widowControl w:val="0"/>
      <w:autoSpaceDE w:val="0"/>
      <w:autoSpaceDN w:val="0"/>
      <w:adjustRightInd w:val="0"/>
      <w:spacing w:line="192" w:lineRule="atLeast"/>
      <w:ind w:hanging="110"/>
    </w:pPr>
  </w:style>
  <w:style w:type="paragraph" w:customStyle="1" w:styleId="Style26">
    <w:name w:val="Style26"/>
    <w:basedOn w:val="a1"/>
    <w:pPr>
      <w:widowControl w:val="0"/>
      <w:autoSpaceDE w:val="0"/>
      <w:autoSpaceDN w:val="0"/>
      <w:adjustRightInd w:val="0"/>
      <w:spacing w:line="235" w:lineRule="atLeast"/>
      <w:jc w:val="both"/>
    </w:pPr>
  </w:style>
  <w:style w:type="paragraph" w:customStyle="1" w:styleId="Style25">
    <w:name w:val="Style25"/>
    <w:basedOn w:val="a1"/>
    <w:pPr>
      <w:widowControl w:val="0"/>
      <w:autoSpaceDE w:val="0"/>
      <w:autoSpaceDN w:val="0"/>
      <w:adjustRightInd w:val="0"/>
      <w:spacing w:line="130" w:lineRule="atLeast"/>
    </w:pPr>
  </w:style>
  <w:style w:type="paragraph" w:customStyle="1" w:styleId="Style32">
    <w:name w:val="Style32"/>
    <w:basedOn w:val="a1"/>
    <w:pPr>
      <w:widowControl w:val="0"/>
      <w:autoSpaceDE w:val="0"/>
      <w:autoSpaceDN w:val="0"/>
      <w:adjustRightInd w:val="0"/>
      <w:spacing w:line="230" w:lineRule="atLeast"/>
    </w:pPr>
  </w:style>
  <w:style w:type="paragraph" w:customStyle="1" w:styleId="Style37">
    <w:name w:val="Style37"/>
    <w:basedOn w:val="a1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1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rPr>
      <w:rFonts w:ascii="Times New Roman" w:hAnsi="Times New Roman" w:cs="Times New Roman"/>
      <w:b/>
      <w:bCs/>
      <w:spacing w:val="1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85">
    <w:name w:val="Font Style85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6">
    <w:name w:val="Font Style86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7">
    <w:name w:val="Font Style87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8">
    <w:name w:val="Font Style88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yle34">
    <w:name w:val="Style34"/>
    <w:basedOn w:val="a1"/>
    <w:pPr>
      <w:widowControl w:val="0"/>
      <w:autoSpaceDE w:val="0"/>
      <w:autoSpaceDN w:val="0"/>
      <w:adjustRightInd w:val="0"/>
      <w:spacing w:line="226" w:lineRule="atLeast"/>
      <w:ind w:firstLine="1440"/>
      <w:jc w:val="both"/>
    </w:pPr>
  </w:style>
  <w:style w:type="paragraph" w:customStyle="1" w:styleId="Style36">
    <w:name w:val="Style36"/>
    <w:basedOn w:val="a1"/>
    <w:pPr>
      <w:widowControl w:val="0"/>
      <w:autoSpaceDE w:val="0"/>
      <w:autoSpaceDN w:val="0"/>
      <w:adjustRightInd w:val="0"/>
      <w:spacing w:line="226" w:lineRule="atLeast"/>
      <w:jc w:val="both"/>
    </w:pPr>
  </w:style>
  <w:style w:type="paragraph" w:customStyle="1" w:styleId="Style59">
    <w:name w:val="Style59"/>
    <w:basedOn w:val="a1"/>
    <w:pPr>
      <w:widowControl w:val="0"/>
      <w:autoSpaceDE w:val="0"/>
      <w:autoSpaceDN w:val="0"/>
      <w:adjustRightInd w:val="0"/>
      <w:spacing w:line="198" w:lineRule="atLeast"/>
      <w:ind w:firstLine="168"/>
    </w:pPr>
  </w:style>
  <w:style w:type="paragraph" w:styleId="a6">
    <w:name w:val="header"/>
    <w:basedOn w:val="a1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8">
    <w:name w:val="footer"/>
    <w:basedOn w:val="a1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a">
    <w:name w:val="Balloon Text"/>
    <w:basedOn w:val="a1"/>
    <w:qFormat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0">
    <w:name w:val="Основной текст с отступом;текст;Основной текст 1"/>
    <w:basedOn w:val="a1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20">
    <w:name w:val="List Bullet 2"/>
    <w:basedOn w:val="a1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paragraph" w:customStyle="1" w:styleId="a0">
    <w:name w:val="_список"/>
    <w:basedOn w:val="a1"/>
    <w:pPr>
      <w:numPr>
        <w:numId w:val="6"/>
      </w:numPr>
      <w:spacing w:line="360" w:lineRule="auto"/>
      <w:ind w:left="-1" w:hanging="1"/>
      <w:jc w:val="both"/>
    </w:pPr>
    <w:rPr>
      <w:sz w:val="28"/>
      <w:szCs w:val="28"/>
    </w:rPr>
  </w:style>
  <w:style w:type="table" w:styleId="ac">
    <w:name w:val="Table Grid"/>
    <w:basedOn w:val="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1"/>
    <w:pPr>
      <w:numPr>
        <w:numId w:val="11"/>
      </w:numPr>
      <w:ind w:left="-1" w:hanging="1"/>
    </w:pPr>
  </w:style>
  <w:style w:type="paragraph" w:styleId="ad">
    <w:name w:val="Body Text"/>
    <w:basedOn w:val="a1"/>
    <w:pPr>
      <w:spacing w:after="120"/>
    </w:pPr>
    <w:rPr>
      <w:sz w:val="20"/>
      <w:szCs w:val="20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styleId="ae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">
    <w:name w:val="Normal (Web)"/>
    <w:basedOn w:val="a1"/>
    <w:pPr>
      <w:numPr>
        <w:numId w:val="13"/>
      </w:numPr>
      <w:spacing w:before="100" w:beforeAutospacing="1" w:after="100" w:afterAutospacing="1"/>
      <w:ind w:left="0" w:firstLine="0"/>
    </w:pPr>
  </w:style>
  <w:style w:type="paragraph" w:customStyle="1" w:styleId="af">
    <w:name w:val="абзац"/>
    <w:basedOn w:val="a1"/>
    <w:pPr>
      <w:spacing w:line="312" w:lineRule="auto"/>
      <w:ind w:firstLine="567"/>
      <w:jc w:val="both"/>
    </w:pPr>
    <w:rPr>
      <w:sz w:val="28"/>
      <w:szCs w:val="28"/>
    </w:rPr>
  </w:style>
  <w:style w:type="paragraph" w:styleId="af0">
    <w:name w:val="Normal Indent"/>
    <w:basedOn w:val="a1"/>
    <w:pPr>
      <w:ind w:left="708"/>
    </w:pPr>
    <w:rPr>
      <w:sz w:val="28"/>
    </w:rPr>
  </w:style>
  <w:style w:type="character" w:customStyle="1" w:styleId="11">
    <w:name w:val="Основной текст с отступом Знак;текст Знак;Основной текст 1 Знак"/>
    <w:rPr>
      <w:rFonts w:ascii="TimesET" w:hAnsi="TimesE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1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1"/>
    <w:pPr>
      <w:widowControl w:val="0"/>
      <w:shd w:val="clear" w:color="auto" w:fill="FFFFFF"/>
      <w:spacing w:before="600" w:line="480" w:lineRule="atLeast"/>
      <w:jc w:val="both"/>
    </w:pPr>
    <w:rPr>
      <w:sz w:val="28"/>
      <w:szCs w:val="28"/>
    </w:rPr>
  </w:style>
  <w:style w:type="character" w:customStyle="1" w:styleId="12">
    <w:name w:val="Заголовок 1 Знак"/>
    <w:rPr>
      <w:rFonts w:ascii="Calibri Light" w:hAnsi="Calibri Light"/>
      <w:b/>
      <w:bCs/>
      <w:color w:val="2E74B5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f1">
    <w:name w:val="List"/>
    <w:basedOn w:val="a1"/>
    <w:pPr>
      <w:ind w:left="283" w:hanging="283"/>
    </w:pPr>
    <w:rPr>
      <w:sz w:val="20"/>
      <w:szCs w:val="20"/>
    </w:rPr>
  </w:style>
  <w:style w:type="paragraph" w:styleId="af2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e8W3OjXjOpeskFIV2N6JQv4SQ==">AMUW2mX56maVLO43f/AhD2qDawAa8Z0bECElXZsPYRp/zjCawMqM7PkZ5gHXjkgnpDYdrlQ6o/7rgH/FZwNO+7dfhwU2hZLPKUEhn9riOn5NVqNfuMljWBVvzK6vIuxhet09ZlCJ17vMj8fsHJp9YrL+7/OtO3KPWsDTlfhj9aEyEtPFAE/ouCF9e2953snw7fFfyaiA6W91lGZEnYGdb+BExDY6vi24PQ==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7983</Words>
  <Characters>45508</Characters>
  <Application>Microsoft Office Word</Application>
  <DocSecurity>0</DocSecurity>
  <Lines>379</Lines>
  <Paragraphs>106</Paragraphs>
  <ScaleCrop>false</ScaleCrop>
  <Company>SPecialiST RePack</Company>
  <LinksUpToDate>false</LinksUpToDate>
  <CharactersWithSpaces>53385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susargul-313-1</cp:lastModifiedBy>
  <cp:revision>3</cp:revision>
  <dcterms:created xsi:type="dcterms:W3CDTF">2021-01-25T08:02:00Z</dcterms:created>
  <dcterms:modified xsi:type="dcterms:W3CDTF">2021-06-16T03:02:00Z</dcterms:modified>
</cp:coreProperties>
</file>